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16F6" w14:textId="77777777" w:rsidR="0047783A" w:rsidRPr="003D6B6C" w:rsidRDefault="0047783A" w:rsidP="00035D61">
      <w:pPr>
        <w:pStyle w:val="Heading1"/>
        <w:keepNext w:val="0"/>
        <w:numPr>
          <w:ilvl w:val="0"/>
          <w:numId w:val="0"/>
        </w:numPr>
        <w:jc w:val="center"/>
        <w:rPr>
          <w:rFonts w:ascii="Times New Roman" w:hAnsi="Times New Roman"/>
          <w:i/>
          <w:sz w:val="28"/>
          <w:szCs w:val="28"/>
        </w:rPr>
      </w:pPr>
      <w:bookmarkStart w:id="0" w:name="_Toc42488096"/>
      <w:bookmarkStart w:id="1" w:name="_GoBack"/>
      <w:bookmarkEnd w:id="1"/>
      <w:r>
        <w:rPr>
          <w:rFonts w:ascii="Times New Roman" w:hAnsi="Times New Roman"/>
          <w:i/>
          <w:sz w:val="28"/>
          <w:szCs w:val="28"/>
        </w:rPr>
        <w:t>CONDITIONS PARTICULIÈRES</w:t>
      </w:r>
      <w:bookmarkEnd w:id="0"/>
    </w:p>
    <w:p w14:paraId="1334B0B7" w14:textId="77777777" w:rsidR="0047783A" w:rsidRPr="003D6B6C" w:rsidRDefault="0047783A" w:rsidP="0047783A">
      <w:pPr>
        <w:spacing w:before="240"/>
        <w:ind w:left="567" w:hanging="567"/>
        <w:outlineLvl w:val="0"/>
        <w:rPr>
          <w:rFonts w:ascii="Times New Roman" w:hAnsi="Times New Roman"/>
          <w:b/>
          <w:sz w:val="28"/>
          <w:szCs w:val="28"/>
        </w:rPr>
      </w:pPr>
      <w:r>
        <w:rPr>
          <w:rFonts w:ascii="Times New Roman" w:hAnsi="Times New Roman"/>
          <w:b/>
          <w:sz w:val="28"/>
          <w:szCs w:val="28"/>
        </w:rPr>
        <w:t>TABLE DES MATIÈRES</w:t>
      </w:r>
    </w:p>
    <w:p w14:paraId="676C0BAF" w14:textId="77777777" w:rsidR="0047783A" w:rsidRPr="003D6B6C" w:rsidRDefault="0047783A" w:rsidP="0047783A">
      <w:pPr>
        <w:jc w:val="both"/>
        <w:rPr>
          <w:rFonts w:ascii="Times New Roman" w:hAnsi="Times New Roman"/>
          <w:sz w:val="22"/>
          <w:szCs w:val="22"/>
        </w:rPr>
      </w:pPr>
      <w:r>
        <w:rPr>
          <w:rFonts w:ascii="Times New Roman" w:hAnsi="Times New Roman"/>
          <w:sz w:val="22"/>
          <w:szCs w:val="22"/>
        </w:rPr>
        <w:t>Les présentes conditions particulières précisent et complètent, au besoin, les dispositions des conditions générales applicables au marché. Sauf si les conditions particulières en disposent autrement, les dispositions des conditions générales susmentionnées demeurent pleinement applicables. La numérotation des articles des conditions particulières n’est pas consécutive et suit la numérotation des articles des conditions générales. À titre exceptionnel et avec l’autorisation des services compétents de la Commission, d’autres clauses peuvent être introduites pour couvrir des situations particulières.</w:t>
      </w:r>
    </w:p>
    <w:p w14:paraId="3709230C" w14:textId="77777777" w:rsidR="00190077" w:rsidRPr="00F017DE" w:rsidRDefault="00190077" w:rsidP="00190077">
      <w:pPr>
        <w:pStyle w:val="Subtitle"/>
        <w:shd w:val="clear" w:color="auto" w:fill="FFFF00"/>
        <w:jc w:val="both"/>
      </w:pPr>
      <w:r>
        <w:rPr>
          <w:rFonts w:ascii="Times New Roman" w:hAnsi="Times New Roman"/>
          <w:sz w:val="22"/>
          <w:szCs w:val="22"/>
        </w:rPr>
        <w:t>Comment compléter ces conditions particulières:</w:t>
      </w:r>
    </w:p>
    <w:p w14:paraId="74926177" w14:textId="77777777" w:rsidR="00190077" w:rsidRPr="00190077" w:rsidRDefault="00190077" w:rsidP="00190077">
      <w:pPr>
        <w:pStyle w:val="Subtitle"/>
        <w:shd w:val="clear" w:color="auto" w:fill="FFFF00"/>
        <w:jc w:val="both"/>
        <w:rPr>
          <w:rFonts w:ascii="Times New Roman" w:hAnsi="Times New Roman"/>
          <w:b w:val="0"/>
          <w:sz w:val="22"/>
          <w:szCs w:val="22"/>
        </w:rPr>
      </w:pPr>
      <w:r>
        <w:rPr>
          <w:rFonts w:ascii="Times New Roman" w:hAnsi="Times New Roman"/>
          <w:sz w:val="22"/>
          <w:szCs w:val="22"/>
        </w:rPr>
        <w:t>Pour les termes entre &lt;…&gt;, introduire l’information appropriée aux conditions particulières.</w:t>
      </w:r>
      <w:r>
        <w:rPr>
          <w:rFonts w:ascii="Times New Roman" w:hAnsi="Times New Roman"/>
          <w:b w:val="0"/>
          <w:sz w:val="22"/>
          <w:szCs w:val="22"/>
        </w:rPr>
        <w:t xml:space="preserve"> Les phrases entre [ ] ne doivent être introduites que si cela est pertinent, tandis que les paragraphes grisés ne doivent être modifiés que dans des cas exceptionnels, selon les obligations découlant de procédures de soumission particulières.</w:t>
      </w:r>
    </w:p>
    <w:p w14:paraId="2EB217D4" w14:textId="77777777" w:rsidR="00190077" w:rsidRPr="00F017DE" w:rsidRDefault="00190077" w:rsidP="00190077">
      <w:pPr>
        <w:pStyle w:val="Subtitle"/>
        <w:shd w:val="clear" w:color="auto" w:fill="FFFF00"/>
        <w:jc w:val="both"/>
        <w:rPr>
          <w:rFonts w:ascii="Times New Roman" w:hAnsi="Times New Roman"/>
          <w:sz w:val="22"/>
          <w:szCs w:val="22"/>
        </w:rPr>
      </w:pPr>
      <w:r>
        <w:rPr>
          <w:rFonts w:ascii="Times New Roman" w:hAnsi="Times New Roman"/>
          <w:sz w:val="22"/>
          <w:szCs w:val="22"/>
        </w:rPr>
        <w:t>Veuillez noter que les conditions particulières peuvent déroger aux conditions générales. Dans les cas où une telle dérogation n’est pas prévue aux conditions générales, l’autorisation des services compétents de la Commission européenne est requise.</w:t>
      </w:r>
    </w:p>
    <w:p w14:paraId="0148F4C4" w14:textId="77777777" w:rsidR="0047783A" w:rsidRPr="00190077" w:rsidRDefault="00190077" w:rsidP="00F017DE">
      <w:pPr>
        <w:pStyle w:val="Subtitle"/>
        <w:shd w:val="clear" w:color="auto" w:fill="FFFF00"/>
        <w:jc w:val="both"/>
        <w:rPr>
          <w:rFonts w:ascii="Times New Roman" w:hAnsi="Times New Roman"/>
          <w:b w:val="0"/>
          <w:sz w:val="22"/>
          <w:szCs w:val="22"/>
        </w:rPr>
      </w:pPr>
      <w:r>
        <w:rPr>
          <w:rFonts w:ascii="Times New Roman" w:hAnsi="Times New Roman"/>
          <w:b w:val="0"/>
          <w:sz w:val="22"/>
          <w:szCs w:val="22"/>
        </w:rPr>
        <w:t>N’oubliez pas de supprimer le présent paragraphe et tous les crochets dans la version définitive des conditions particulières.</w:t>
      </w:r>
    </w:p>
    <w:p w14:paraId="66E2A106" w14:textId="77777777" w:rsidR="0047783A" w:rsidRPr="003D6B6C" w:rsidRDefault="0047783A" w:rsidP="00B34179">
      <w:pPr>
        <w:spacing w:before="240"/>
        <w:ind w:left="1134" w:hanging="1134"/>
        <w:jc w:val="both"/>
        <w:rPr>
          <w:rFonts w:ascii="Times New Roman" w:hAnsi="Times New Roman"/>
          <w:b/>
          <w:sz w:val="24"/>
          <w:szCs w:val="24"/>
        </w:rPr>
      </w:pPr>
      <w:r>
        <w:rPr>
          <w:rFonts w:ascii="Times New Roman" w:hAnsi="Times New Roman"/>
          <w:b/>
          <w:sz w:val="24"/>
          <w:szCs w:val="24"/>
        </w:rPr>
        <w:t>Article 2</w:t>
      </w:r>
      <w:r>
        <w:rPr>
          <w:rFonts w:ascii="Times New Roman" w:hAnsi="Times New Roman"/>
          <w:b/>
          <w:sz w:val="24"/>
          <w:szCs w:val="24"/>
        </w:rPr>
        <w:tab/>
      </w:r>
      <w:bookmarkStart w:id="2" w:name="_Toc124934896"/>
      <w:r>
        <w:rPr>
          <w:rFonts w:ascii="Times New Roman" w:hAnsi="Times New Roman"/>
          <w:b/>
          <w:sz w:val="24"/>
          <w:szCs w:val="24"/>
        </w:rPr>
        <w:t>L</w:t>
      </w:r>
      <w:bookmarkEnd w:id="2"/>
      <w:r>
        <w:rPr>
          <w:rFonts w:ascii="Times New Roman" w:hAnsi="Times New Roman"/>
          <w:b/>
          <w:sz w:val="24"/>
          <w:szCs w:val="24"/>
        </w:rPr>
        <w:t>angue du marché</w:t>
      </w:r>
    </w:p>
    <w:p w14:paraId="1F484843" w14:textId="77777777" w:rsidR="0047783A" w:rsidRPr="003D6B6C" w:rsidRDefault="0047783A" w:rsidP="004F7A0E">
      <w:pPr>
        <w:ind w:left="1134" w:hanging="567"/>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t>La langue utilisée est le français.</w:t>
      </w:r>
    </w:p>
    <w:p w14:paraId="3308F28E" w14:textId="77777777" w:rsidR="0047783A" w:rsidRPr="003D6B6C" w:rsidRDefault="0047783A" w:rsidP="00B34179">
      <w:pPr>
        <w:spacing w:before="240"/>
        <w:ind w:left="1134" w:hanging="1134"/>
        <w:jc w:val="both"/>
        <w:rPr>
          <w:rFonts w:ascii="Times New Roman" w:hAnsi="Times New Roman"/>
          <w:b/>
          <w:sz w:val="24"/>
          <w:szCs w:val="24"/>
        </w:rPr>
      </w:pPr>
      <w:bookmarkStart w:id="3" w:name="_Toc124934897"/>
      <w:r>
        <w:rPr>
          <w:rFonts w:ascii="Times New Roman" w:hAnsi="Times New Roman"/>
          <w:b/>
          <w:sz w:val="24"/>
          <w:szCs w:val="24"/>
        </w:rPr>
        <w:t>Article 4</w:t>
      </w:r>
      <w:r>
        <w:rPr>
          <w:rFonts w:ascii="Times New Roman" w:hAnsi="Times New Roman"/>
          <w:b/>
          <w:sz w:val="24"/>
          <w:szCs w:val="24"/>
        </w:rPr>
        <w:tab/>
        <w:t>Communications</w:t>
      </w:r>
      <w:bookmarkEnd w:id="3"/>
    </w:p>
    <w:p w14:paraId="794DFE9C" w14:textId="77777777" w:rsidR="0047783A" w:rsidRDefault="000724EA" w:rsidP="004F7A0E">
      <w:pPr>
        <w:ind w:left="1134" w:hanging="567"/>
        <w:rPr>
          <w:rFonts w:ascii="Times New Roman" w:hAnsi="Times New Roman"/>
          <w:sz w:val="22"/>
          <w:szCs w:val="22"/>
        </w:rPr>
      </w:pPr>
      <w:r>
        <w:rPr>
          <w:rFonts w:ascii="Times New Roman" w:hAnsi="Times New Roman"/>
          <w:sz w:val="22"/>
          <w:szCs w:val="22"/>
        </w:rPr>
        <w:t>4.1</w:t>
      </w:r>
      <w:r>
        <w:rPr>
          <w:rFonts w:ascii="Times New Roman" w:hAnsi="Times New Roman"/>
          <w:sz w:val="22"/>
          <w:szCs w:val="22"/>
        </w:rPr>
        <w:tab/>
        <w:t>&lt;</w:t>
      </w:r>
      <w:r>
        <w:rPr>
          <w:rFonts w:ascii="Times New Roman" w:hAnsi="Times New Roman"/>
          <w:sz w:val="22"/>
          <w:szCs w:val="22"/>
          <w:highlight w:val="yellow"/>
        </w:rPr>
        <w:t>Préciser ici les personnes de contact, les adresses des parties, leurs autres coordonnées, les documents à fournir ainsi que la procédure utilisée par les parties pour leurs communications</w:t>
      </w:r>
      <w:r>
        <w:rPr>
          <w:rFonts w:ascii="Times New Roman" w:hAnsi="Times New Roman"/>
          <w:sz w:val="22"/>
          <w:szCs w:val="22"/>
        </w:rPr>
        <w:t>&gt;</w:t>
      </w:r>
    </w:p>
    <w:p w14:paraId="402D9C62" w14:textId="77777777"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4.2</w:t>
      </w:r>
      <w:r>
        <w:rPr>
          <w:rFonts w:ascii="Times New Roman" w:hAnsi="Times New Roman"/>
          <w:sz w:val="22"/>
          <w:szCs w:val="22"/>
        </w:rPr>
        <w:tab/>
        <w:t>Le pouvoir adjudicateur et le contractant utilisent un système électronique à toutes les étapes de l’exécution du marché, y compris, notamment, pour la gestion du marché (modifications et ordres de service), l’élaboration de rapports (y compris sur les résultats) et les paiements.  Le contractant est tenu de s’inscrire sur le système d’échange électronique approprié et d’en faire usage pour assurer la gestion électronique du marché.</w:t>
      </w:r>
    </w:p>
    <w:p w14:paraId="30D5433B" w14:textId="77777777" w:rsidR="006D3DE4" w:rsidRPr="003D6B6C" w:rsidRDefault="006D3DE4" w:rsidP="00C73F87">
      <w:pPr>
        <w:ind w:left="1134" w:hanging="567"/>
        <w:jc w:val="both"/>
        <w:rPr>
          <w:rFonts w:ascii="Times New Roman" w:hAnsi="Times New Roman"/>
          <w:sz w:val="22"/>
          <w:szCs w:val="22"/>
        </w:rPr>
      </w:pPr>
      <w:r>
        <w:rPr>
          <w:rFonts w:ascii="Times New Roman" w:hAnsi="Times New Roman"/>
          <w:sz w:val="22"/>
          <w:szCs w:val="22"/>
        </w:rPr>
        <w:tab/>
        <w:t>La gestion électronique du marché au moyen du système susmentionné peut débuter à la date du début de l’exécution du marché, comme décrit à l’article 18 ci-dessous, ou à une date ultérieure. Dans ce dernier cas, le pouvoir adjudicateur informe le contractant par écrit de son obligation d’utiliser le système électronique pour toutes les communications dans un délai maximal de trois mois.</w:t>
      </w:r>
    </w:p>
    <w:p w14:paraId="0080E9EE" w14:textId="77777777" w:rsidR="0047783A" w:rsidRPr="003D6B6C" w:rsidRDefault="0049293D" w:rsidP="004F7A0E">
      <w:pPr>
        <w:spacing w:before="240"/>
        <w:ind w:left="1134" w:hanging="1134"/>
        <w:jc w:val="both"/>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highlight w:val="lightGray"/>
        </w:rPr>
        <w:t>Article 6</w:t>
      </w:r>
      <w:r>
        <w:rPr>
          <w:rFonts w:ascii="Times New Roman" w:hAnsi="Times New Roman"/>
          <w:b/>
          <w:sz w:val="24"/>
          <w:szCs w:val="24"/>
          <w:highlight w:val="lightGray"/>
        </w:rPr>
        <w:tab/>
        <w:t>Sous-traitance</w:t>
      </w:r>
    </w:p>
    <w:p w14:paraId="6C9B0B7A" w14:textId="626C4B56" w:rsidR="0047783A" w:rsidRPr="003D6B6C" w:rsidRDefault="00923EDA" w:rsidP="004F7A0E">
      <w:pPr>
        <w:widowControl w:val="0"/>
        <w:ind w:left="1134" w:hanging="567"/>
        <w:jc w:val="both"/>
        <w:rPr>
          <w:rFonts w:ascii="Times New Roman" w:hAnsi="Times New Roman"/>
          <w:sz w:val="22"/>
          <w:szCs w:val="22"/>
        </w:rPr>
      </w:pPr>
      <w:r>
        <w:rPr>
          <w:rFonts w:ascii="Times New Roman" w:hAnsi="Times New Roman"/>
          <w:sz w:val="22"/>
          <w:szCs w:val="22"/>
        </w:rPr>
        <w:t>6.3</w:t>
      </w:r>
      <w:r>
        <w:rPr>
          <w:rFonts w:ascii="Times New Roman" w:hAnsi="Times New Roman"/>
          <w:sz w:val="22"/>
          <w:szCs w:val="22"/>
        </w:rPr>
        <w:tab/>
      </w:r>
      <w:r>
        <w:rPr>
          <w:rFonts w:ascii="Times New Roman" w:hAnsi="Times New Roman"/>
          <w:sz w:val="22"/>
          <w:szCs w:val="22"/>
          <w:highlight w:val="yellow"/>
        </w:rPr>
        <w:t>FED uniquement:</w:t>
      </w:r>
      <w:r>
        <w:rPr>
          <w:rFonts w:ascii="Times New Roman" w:hAnsi="Times New Roman"/>
          <w:sz w:val="22"/>
          <w:szCs w:val="22"/>
        </w:rPr>
        <w:t xml:space="preserve"> </w:t>
      </w:r>
      <w:r>
        <w:rPr>
          <w:rFonts w:ascii="Times New Roman" w:hAnsi="Times New Roman"/>
          <w:sz w:val="22"/>
          <w:szCs w:val="22"/>
          <w:highlight w:val="lightGray"/>
        </w:rPr>
        <w:t xml:space="preserve">Lors de la sélection des sous-traitants, le contractant donne la </w:t>
      </w:r>
      <w:r>
        <w:rPr>
          <w:rFonts w:ascii="Times New Roman" w:hAnsi="Times New Roman"/>
          <w:sz w:val="22"/>
          <w:szCs w:val="22"/>
          <w:highlight w:val="lightGray"/>
        </w:rPr>
        <w:lastRenderedPageBreak/>
        <w:t>préférence aux personnes physiques, sociétés et entreprises des États ACP capables d’exécuter le marché dans les mêmes conditions.</w:t>
      </w:r>
      <w:r>
        <w:rPr>
          <w:rFonts w:ascii="Times New Roman" w:hAnsi="Times New Roman"/>
          <w:sz w:val="22"/>
          <w:szCs w:val="22"/>
        </w:rPr>
        <w:t>]</w:t>
      </w:r>
    </w:p>
    <w:p w14:paraId="1314341F" w14:textId="77777777" w:rsidR="0047783A" w:rsidRPr="003D6B6C" w:rsidRDefault="0047783A" w:rsidP="00B34179">
      <w:pPr>
        <w:spacing w:before="240"/>
        <w:ind w:left="1134" w:hanging="1134"/>
        <w:jc w:val="both"/>
        <w:rPr>
          <w:rFonts w:ascii="Times New Roman" w:hAnsi="Times New Roman"/>
          <w:b/>
          <w:sz w:val="24"/>
          <w:szCs w:val="24"/>
        </w:rPr>
      </w:pPr>
      <w:bookmarkStart w:id="4" w:name="_Toc124934898"/>
      <w:r>
        <w:rPr>
          <w:rFonts w:ascii="Times New Roman" w:hAnsi="Times New Roman"/>
          <w:b/>
          <w:sz w:val="24"/>
          <w:szCs w:val="24"/>
        </w:rPr>
        <w:t>Article 7</w:t>
      </w:r>
      <w:r>
        <w:rPr>
          <w:rFonts w:ascii="Times New Roman" w:hAnsi="Times New Roman"/>
          <w:b/>
          <w:sz w:val="24"/>
          <w:szCs w:val="24"/>
        </w:rPr>
        <w:tab/>
        <w:t>Documents à fournir</w:t>
      </w:r>
      <w:bookmarkEnd w:id="4"/>
    </w:p>
    <w:p w14:paraId="09203E64" w14:textId="77777777" w:rsidR="0047783A" w:rsidRPr="003D6B6C" w:rsidRDefault="0047783A" w:rsidP="00B34179">
      <w:pPr>
        <w:jc w:val="both"/>
        <w:rPr>
          <w:rFonts w:ascii="Times New Roman" w:hAnsi="Times New Roman"/>
          <w:b/>
          <w:sz w:val="22"/>
          <w:szCs w:val="22"/>
        </w:rPr>
      </w:pPr>
      <w:r>
        <w:rPr>
          <w:rFonts w:ascii="Times New Roman" w:hAnsi="Times New Roman"/>
          <w:sz w:val="22"/>
          <w:szCs w:val="22"/>
        </w:rPr>
        <w:t>&lt;</w:t>
      </w:r>
      <w:r>
        <w:rPr>
          <w:rFonts w:ascii="Times New Roman" w:hAnsi="Times New Roman"/>
          <w:sz w:val="22"/>
          <w:szCs w:val="22"/>
          <w:highlight w:val="yellow"/>
        </w:rPr>
        <w:t>Préciser ici les documents et plans à fournir ainsi que, si nécessaire, la procédure utilisée par le pouvoir adjudicateur et le gestionnaire de projet pour approuver les plans et autres documents fournis par le contractant</w:t>
      </w:r>
      <w:r>
        <w:rPr>
          <w:rFonts w:ascii="Times New Roman" w:hAnsi="Times New Roman"/>
          <w:sz w:val="22"/>
          <w:szCs w:val="22"/>
        </w:rPr>
        <w:t>&gt;</w:t>
      </w:r>
    </w:p>
    <w:p w14:paraId="35062D7D" w14:textId="77777777" w:rsidR="0047783A" w:rsidRPr="003D6B6C" w:rsidRDefault="0047783A" w:rsidP="00B34179">
      <w:pPr>
        <w:spacing w:before="240"/>
        <w:ind w:left="1134" w:hanging="1134"/>
        <w:jc w:val="both"/>
        <w:rPr>
          <w:rFonts w:ascii="Times New Roman" w:hAnsi="Times New Roman"/>
          <w:b/>
          <w:sz w:val="24"/>
          <w:szCs w:val="24"/>
        </w:rPr>
      </w:pPr>
      <w:bookmarkStart w:id="5" w:name="_Toc124934899"/>
      <w:r>
        <w:rPr>
          <w:rFonts w:ascii="Times New Roman" w:hAnsi="Times New Roman"/>
          <w:b/>
          <w:sz w:val="24"/>
          <w:szCs w:val="24"/>
        </w:rPr>
        <w:t>Article 8</w:t>
      </w:r>
      <w:r>
        <w:rPr>
          <w:rFonts w:ascii="Times New Roman" w:hAnsi="Times New Roman"/>
          <w:b/>
          <w:sz w:val="24"/>
          <w:szCs w:val="24"/>
        </w:rPr>
        <w:tab/>
        <w:t>Aide en matière de réglementation locale</w:t>
      </w:r>
      <w:bookmarkEnd w:id="5"/>
    </w:p>
    <w:p w14:paraId="490BDFDD" w14:textId="77777777" w:rsidR="0047783A" w:rsidRPr="003D6B6C" w:rsidRDefault="0047783A" w:rsidP="00B34179">
      <w:pPr>
        <w:jc w:val="both"/>
        <w:rPr>
          <w:rFonts w:ascii="Times New Roman" w:hAnsi="Times New Roman"/>
          <w:sz w:val="22"/>
          <w:szCs w:val="22"/>
        </w:rPr>
      </w:pPr>
      <w:r>
        <w:rPr>
          <w:rFonts w:ascii="Times New Roman" w:hAnsi="Times New Roman"/>
          <w:sz w:val="22"/>
          <w:szCs w:val="22"/>
        </w:rPr>
        <w:t>&lt;</w:t>
      </w:r>
      <w:r>
        <w:rPr>
          <w:rFonts w:ascii="Times New Roman" w:hAnsi="Times New Roman"/>
          <w:sz w:val="22"/>
          <w:szCs w:val="22"/>
          <w:highlight w:val="yellow"/>
        </w:rPr>
        <w:t>Préciser les procédures d’obtention des permis, visas, autorisations ou licences ou, tout au moins, indiquer les textes de référence pertinents, le cas échéant</w:t>
      </w:r>
      <w:r>
        <w:rPr>
          <w:rFonts w:ascii="Times New Roman" w:hAnsi="Times New Roman"/>
          <w:sz w:val="22"/>
          <w:szCs w:val="22"/>
        </w:rPr>
        <w:t>&gt;</w:t>
      </w:r>
    </w:p>
    <w:p w14:paraId="6797F7C0" w14:textId="77777777" w:rsidR="00E0396B" w:rsidRPr="003D6B6C" w:rsidRDefault="00E0396B" w:rsidP="00FE689C">
      <w:pPr>
        <w:tabs>
          <w:tab w:val="left" w:pos="1134"/>
        </w:tabs>
        <w:jc w:val="both"/>
        <w:rPr>
          <w:rFonts w:ascii="Times New Roman" w:hAnsi="Times New Roman"/>
          <w:b/>
          <w:sz w:val="22"/>
          <w:szCs w:val="22"/>
        </w:rPr>
      </w:pPr>
      <w:r>
        <w:rPr>
          <w:rFonts w:ascii="Times New Roman" w:hAnsi="Times New Roman"/>
          <w:b/>
          <w:sz w:val="22"/>
          <w:szCs w:val="22"/>
        </w:rPr>
        <w:t>Article 9</w:t>
      </w:r>
      <w:r>
        <w:rPr>
          <w:rFonts w:ascii="Times New Roman" w:hAnsi="Times New Roman"/>
          <w:b/>
          <w:sz w:val="22"/>
          <w:szCs w:val="22"/>
        </w:rPr>
        <w:tab/>
        <w:t>Obligations générales</w:t>
      </w:r>
    </w:p>
    <w:p w14:paraId="09E395A7" w14:textId="671A9A5F" w:rsidR="0031105E" w:rsidRPr="002A52E3" w:rsidRDefault="00E0396B" w:rsidP="009823E7">
      <w:pPr>
        <w:pStyle w:val="Heading2"/>
        <w:ind w:left="1134" w:hanging="708"/>
        <w:jc w:val="both"/>
      </w:pPr>
      <w:r>
        <w:rPr>
          <w:rFonts w:ascii="Times New Roman" w:hAnsi="Times New Roman"/>
          <w:sz w:val="22"/>
          <w:szCs w:val="22"/>
        </w:rPr>
        <w:t>9.9</w:t>
      </w:r>
      <w:r>
        <w:rPr>
          <w:rFonts w:ascii="Times New Roman" w:hAnsi="Times New Roman"/>
          <w:sz w:val="22"/>
          <w:szCs w:val="22"/>
        </w:rPr>
        <w:tab/>
        <w:t>&lt;</w:t>
      </w:r>
      <w:r>
        <w:rPr>
          <w:rFonts w:ascii="Times New Roman" w:hAnsi="Times New Roman"/>
          <w:sz w:val="22"/>
          <w:szCs w:val="22"/>
          <w:highlight w:val="yellow"/>
        </w:rPr>
        <w:t>Préciser les activités spécifiques à mettre en place par le contractant en vue de se conformer à son obligation minimale de visibilité</w:t>
      </w:r>
      <w:r w:rsidR="00C67382">
        <w:rPr>
          <w:rFonts w:ascii="Times New Roman" w:hAnsi="Times New Roman"/>
          <w:sz w:val="22"/>
          <w:szCs w:val="22"/>
          <w:highlight w:val="yellow"/>
        </w:rPr>
        <w:t xml:space="preserve"> et, le cas échéant, toute activité de communication supplémentaire approuvée par la Commission européenne</w:t>
      </w:r>
      <w:r>
        <w:rPr>
          <w:rFonts w:ascii="Times New Roman" w:hAnsi="Times New Roman"/>
          <w:sz w:val="22"/>
          <w:szCs w:val="22"/>
          <w:highlight w:val="yellow"/>
        </w:rPr>
        <w:t xml:space="preserve">. Ces activités doivent être conformes </w:t>
      </w:r>
      <w:r w:rsidR="0031105E" w:rsidRPr="00F0781F">
        <w:rPr>
          <w:rFonts w:ascii="Times New Roman" w:hAnsi="Times New Roman"/>
          <w:sz w:val="22"/>
          <w:szCs w:val="22"/>
          <w:highlight w:val="yellow"/>
        </w:rPr>
        <w:t xml:space="preserve">aux </w:t>
      </w:r>
      <w:r w:rsidR="00C67382">
        <w:rPr>
          <w:rFonts w:ascii="Times New Roman" w:hAnsi="Times New Roman"/>
          <w:sz w:val="22"/>
          <w:szCs w:val="22"/>
          <w:highlight w:val="yellow"/>
        </w:rPr>
        <w:t xml:space="preserve">plus récentes </w:t>
      </w:r>
      <w:r w:rsidR="0031105E" w:rsidRPr="00F0781F">
        <w:rPr>
          <w:rFonts w:ascii="Times New Roman" w:hAnsi="Times New Roman"/>
          <w:sz w:val="22"/>
          <w:szCs w:val="22"/>
          <w:highlight w:val="yellow"/>
        </w:rPr>
        <w:t>exigences des actions extérieures de l’Union européenne en matière de communication et de visibilité établies et publiées par la Commission européenne</w:t>
      </w:r>
      <w:r w:rsidR="00283061">
        <w:rPr>
          <w:rFonts w:ascii="Times New Roman" w:hAnsi="Times New Roman"/>
          <w:sz w:val="22"/>
          <w:szCs w:val="22"/>
          <w:highlight w:val="yellow"/>
        </w:rPr>
        <w:t xml:space="preserve">. </w:t>
      </w:r>
      <w:r w:rsidR="00C22AD1">
        <w:rPr>
          <w:rFonts w:ascii="Times New Roman" w:hAnsi="Times New Roman"/>
          <w:sz w:val="22"/>
          <w:szCs w:val="22"/>
        </w:rPr>
        <w:t>&gt;</w:t>
      </w:r>
    </w:p>
    <w:p w14:paraId="4C08721E" w14:textId="0C821782" w:rsidR="00E0396B" w:rsidRPr="003D6B6C" w:rsidRDefault="00E0396B" w:rsidP="003D6B6C">
      <w:pPr>
        <w:tabs>
          <w:tab w:val="left" w:pos="426"/>
        </w:tabs>
        <w:ind w:left="1134" w:right="-285" w:hanging="708"/>
        <w:rPr>
          <w:rFonts w:ascii="Times New Roman" w:hAnsi="Times New Roman"/>
          <w:sz w:val="22"/>
          <w:szCs w:val="22"/>
        </w:rPr>
      </w:pPr>
    </w:p>
    <w:p w14:paraId="7B0EBBEA" w14:textId="77777777" w:rsidR="0047783A" w:rsidRPr="003D6B6C" w:rsidRDefault="0047783A" w:rsidP="001B55AC">
      <w:pPr>
        <w:keepNext/>
        <w:spacing w:before="240"/>
        <w:ind w:left="1134" w:hanging="1134"/>
        <w:jc w:val="both"/>
        <w:rPr>
          <w:rFonts w:ascii="Times New Roman" w:hAnsi="Times New Roman"/>
          <w:b/>
          <w:sz w:val="24"/>
          <w:szCs w:val="24"/>
        </w:rPr>
      </w:pPr>
      <w:bookmarkStart w:id="6" w:name="_Toc124934900"/>
      <w:r>
        <w:rPr>
          <w:rFonts w:ascii="Times New Roman" w:hAnsi="Times New Roman"/>
          <w:b/>
          <w:sz w:val="24"/>
          <w:szCs w:val="24"/>
        </w:rPr>
        <w:t>Article 10</w:t>
      </w:r>
      <w:r>
        <w:rPr>
          <w:rFonts w:ascii="Times New Roman" w:hAnsi="Times New Roman"/>
          <w:b/>
          <w:sz w:val="24"/>
          <w:szCs w:val="24"/>
        </w:rPr>
        <w:tab/>
        <w:t>Origine</w:t>
      </w:r>
      <w:bookmarkEnd w:id="6"/>
    </w:p>
    <w:p w14:paraId="74EACF82" w14:textId="6C0863BE" w:rsidR="009679FA" w:rsidRPr="00A7016F" w:rsidRDefault="0047783A" w:rsidP="00D50FCB">
      <w:pPr>
        <w:pStyle w:val="Heading2"/>
        <w:keepNext w:val="0"/>
        <w:numPr>
          <w:ilvl w:val="1"/>
          <w:numId w:val="0"/>
        </w:numPr>
        <w:ind w:left="1134" w:hanging="708"/>
        <w:jc w:val="both"/>
      </w:pPr>
      <w:r>
        <w:rPr>
          <w:rFonts w:ascii="Times New Roman" w:hAnsi="Times New Roman"/>
          <w:sz w:val="22"/>
          <w:szCs w:val="22"/>
        </w:rPr>
        <w:t>10.1</w:t>
      </w:r>
      <w:r>
        <w:rPr>
          <w:rFonts w:ascii="Times New Roman" w:hAnsi="Times New Roman"/>
          <w:sz w:val="22"/>
          <w:szCs w:val="22"/>
        </w:rPr>
        <w:tab/>
      </w:r>
      <w:r>
        <w:rPr>
          <w:rFonts w:ascii="Times New Roman" w:hAnsi="Times New Roman"/>
          <w:sz w:val="22"/>
          <w:szCs w:val="22"/>
          <w:highlight w:val="yellow"/>
        </w:rPr>
        <w:t>[En vertu du cadre financier pluriannuel 2014-2020 (marchés/lots inférieurs à 100 000 EUR au titre du règlement commun de mise en œuvre) et du cadre financier pluriannuel 2021-2027</w:t>
      </w:r>
      <w:r w:rsidR="00B50D3F" w:rsidRPr="00B50D3F">
        <w:rPr>
          <w:rFonts w:ascii="Times New Roman" w:hAnsi="Times New Roman"/>
          <w:sz w:val="22"/>
          <w:szCs w:val="22"/>
          <w:highlight w:val="yellow"/>
        </w:rPr>
        <w:t>,</w:t>
      </w:r>
      <w:r w:rsidR="00B50D3F" w:rsidRPr="00D76E8A">
        <w:rPr>
          <w:highlight w:val="yellow"/>
        </w:rPr>
        <w:t xml:space="preserve"> </w:t>
      </w:r>
      <w:r w:rsidR="00B50D3F" w:rsidRPr="00B50D3F">
        <w:rPr>
          <w:rFonts w:ascii="Times New Roman" w:hAnsi="Times New Roman"/>
          <w:sz w:val="22"/>
          <w:szCs w:val="22"/>
          <w:highlight w:val="yellow"/>
        </w:rPr>
        <w:t>à l'exception du règlement I</w:t>
      </w:r>
      <w:r w:rsidR="00B50D3F">
        <w:rPr>
          <w:rFonts w:ascii="Times New Roman" w:hAnsi="Times New Roman"/>
          <w:sz w:val="22"/>
          <w:szCs w:val="22"/>
          <w:highlight w:val="yellow"/>
        </w:rPr>
        <w:t>CSN</w:t>
      </w:r>
      <w:r w:rsidR="00B50D3F" w:rsidRPr="00D76E8A">
        <w:rPr>
          <w:rFonts w:ascii="Times New Roman" w:hAnsi="Times New Roman"/>
          <w:sz w:val="22"/>
          <w:szCs w:val="22"/>
          <w:highlight w:val="yellow"/>
        </w:rPr>
        <w:t xml:space="preserve"> 2021/948 du 27 mai 2021</w:t>
      </w:r>
      <w:r>
        <w:rPr>
          <w:rFonts w:ascii="Times New Roman" w:hAnsi="Times New Roman"/>
          <w:sz w:val="22"/>
          <w:szCs w:val="22"/>
          <w:highlight w:val="yellow"/>
        </w:rPr>
        <w:t>:</w:t>
      </w:r>
      <w:r>
        <w:rPr>
          <w:rFonts w:ascii="inherit" w:hAnsi="inherit"/>
          <w:color w:val="444444"/>
          <w:sz w:val="17"/>
          <w:szCs w:val="17"/>
          <w:shd w:val="clear" w:color="auto" w:fill="FFFFFF"/>
        </w:rPr>
        <w:t xml:space="preserve"> </w:t>
      </w:r>
      <w:r w:rsidRPr="00D76E8A">
        <w:rPr>
          <w:rFonts w:ascii="Times New Roman" w:hAnsi="Times New Roman"/>
          <w:sz w:val="22"/>
          <w:szCs w:val="22"/>
          <w:highlight w:val="lightGray"/>
        </w:rPr>
        <w:t>Tous les biens achetés peuvent provenir de n’importe quel pays</w:t>
      </w:r>
      <w:r>
        <w:rPr>
          <w:rFonts w:ascii="Times New Roman" w:hAnsi="Times New Roman"/>
          <w:sz w:val="22"/>
          <w:szCs w:val="22"/>
        </w:rPr>
        <w:t>.]</w:t>
      </w:r>
    </w:p>
    <w:p w14:paraId="40477E17" w14:textId="40D58D5A" w:rsidR="00B50D3F" w:rsidRPr="00D76E8A" w:rsidRDefault="00B50D3F" w:rsidP="00B50D3F">
      <w:pPr>
        <w:pStyle w:val="Heading2"/>
        <w:keepNext w:val="0"/>
        <w:numPr>
          <w:ilvl w:val="1"/>
          <w:numId w:val="0"/>
        </w:numPr>
        <w:ind w:left="1134"/>
        <w:jc w:val="both"/>
        <w:rPr>
          <w:rFonts w:ascii="Times New Roman" w:hAnsi="Times New Roman"/>
          <w:sz w:val="22"/>
          <w:szCs w:val="22"/>
        </w:rPr>
      </w:pPr>
      <w:r>
        <w:rPr>
          <w:rFonts w:ascii="Times New Roman" w:hAnsi="Times New Roman"/>
          <w:sz w:val="22"/>
          <w:szCs w:val="22"/>
          <w:highlight w:val="yellow"/>
        </w:rPr>
        <w:t xml:space="preserve">[En vertu </w:t>
      </w:r>
      <w:r w:rsidRPr="00B50D3F">
        <w:rPr>
          <w:rFonts w:ascii="Times New Roman" w:hAnsi="Times New Roman"/>
          <w:sz w:val="22"/>
          <w:szCs w:val="22"/>
          <w:highlight w:val="yellow"/>
        </w:rPr>
        <w:t>du</w:t>
      </w:r>
      <w:r w:rsidRPr="00D76E8A">
        <w:rPr>
          <w:rFonts w:ascii="Times New Roman" w:hAnsi="Times New Roman"/>
          <w:sz w:val="22"/>
          <w:szCs w:val="22"/>
          <w:highlight w:val="yellow"/>
        </w:rPr>
        <w:t xml:space="preserve"> règlement ICSN 2021/948 du 27 mai 2021 au titre du cadre financier pluriannuel  2021-2027</w:t>
      </w:r>
      <w:r>
        <w:rPr>
          <w:rFonts w:ascii="Times New Roman" w:hAnsi="Times New Roman"/>
          <w:sz w:val="22"/>
          <w:szCs w:val="22"/>
          <w:highlight w:val="yellow"/>
        </w:rPr>
        <w:t xml:space="preserve"> : </w:t>
      </w:r>
      <w:r w:rsidRPr="00D76E8A">
        <w:rPr>
          <w:rFonts w:ascii="Times New Roman" w:hAnsi="Times New Roman"/>
          <w:sz w:val="22"/>
          <w:szCs w:val="22"/>
          <w:highlight w:val="lightGray"/>
        </w:rPr>
        <w:t>Tous les biens achetés doivent provenir d’un des pays éligibles mentionnés dans</w:t>
      </w:r>
      <w:r w:rsidR="00763CCB" w:rsidRPr="00D76E8A">
        <w:rPr>
          <w:rFonts w:ascii="Times New Roman" w:hAnsi="Times New Roman"/>
          <w:sz w:val="22"/>
          <w:szCs w:val="22"/>
          <w:highlight w:val="lightGray"/>
        </w:rPr>
        <w:t xml:space="preserve"> le règlement ICSN 2021/948 du 27 mai 2021.</w:t>
      </w:r>
      <w:r w:rsidR="00F85B06">
        <w:rPr>
          <w:rFonts w:ascii="Times New Roman" w:hAnsi="Times New Roman"/>
          <w:sz w:val="22"/>
          <w:szCs w:val="22"/>
          <w:highlight w:val="lightGray"/>
        </w:rPr>
        <w:t xml:space="preserve"> </w:t>
      </w:r>
      <w:r w:rsidRPr="00D76E8A">
        <w:rPr>
          <w:rFonts w:ascii="Times New Roman" w:hAnsi="Times New Roman"/>
          <w:sz w:val="22"/>
          <w:szCs w:val="22"/>
          <w:highlight w:val="lightGray"/>
        </w:rPr>
        <w:t>Aux fins de la présente disposition, l’«origine» signifie l’endroit où les biens sont extraits, cultivés, produits ou manufacturés. L’origine des biens doit être déterminée en accord avec les codes des douanes de l’Union européenne ou de la convention internationale applicable en l’espèce.</w:t>
      </w:r>
      <w:r w:rsidR="00F85B06">
        <w:rPr>
          <w:rFonts w:ascii="Times New Roman" w:hAnsi="Times New Roman"/>
          <w:sz w:val="22"/>
          <w:szCs w:val="22"/>
        </w:rPr>
        <w:t>]</w:t>
      </w:r>
    </w:p>
    <w:p w14:paraId="7F4C0A19" w14:textId="7287B5F6" w:rsidR="0047783A" w:rsidRPr="003D6B6C" w:rsidRDefault="009679FA" w:rsidP="00A7016F">
      <w:pPr>
        <w:pStyle w:val="Heading2"/>
        <w:keepNext w:val="0"/>
        <w:numPr>
          <w:ilvl w:val="1"/>
          <w:numId w:val="0"/>
        </w:numPr>
        <w:ind w:left="1134"/>
        <w:jc w:val="both"/>
        <w:rPr>
          <w:rFonts w:ascii="Times New Roman" w:hAnsi="Times New Roman"/>
          <w:sz w:val="22"/>
          <w:szCs w:val="22"/>
        </w:rPr>
      </w:pPr>
      <w:r>
        <w:rPr>
          <w:rFonts w:ascii="Times New Roman" w:hAnsi="Times New Roman"/>
          <w:sz w:val="22"/>
          <w:szCs w:val="22"/>
          <w:highlight w:val="yellow"/>
        </w:rPr>
        <w:t>[En vertu du cadre financier pluriannuel 2014-2020 (marchés/lots supérieurs à 100 000 EUR au titre du règlement commun de mise en œuvre et indépendamment de la valeur pour les autres instruments):</w:t>
      </w:r>
      <w:r>
        <w:rPr>
          <w:rFonts w:ascii="Times New Roman" w:hAnsi="Times New Roman"/>
          <w:sz w:val="22"/>
          <w:szCs w:val="22"/>
        </w:rPr>
        <w:t xml:space="preserve"> </w:t>
      </w:r>
      <w:r w:rsidRPr="00D76E8A">
        <w:rPr>
          <w:rFonts w:ascii="Times New Roman" w:hAnsi="Times New Roman"/>
          <w:sz w:val="22"/>
          <w:szCs w:val="22"/>
          <w:highlight w:val="lightGray"/>
        </w:rPr>
        <w:t>Tous les biens achetés doivent provenir d’un des pays éligibles mentionnés dans</w:t>
      </w:r>
      <w:r>
        <w:rPr>
          <w:rFonts w:ascii="Times New Roman" w:hAnsi="Times New Roman"/>
          <w:sz w:val="22"/>
          <w:szCs w:val="22"/>
        </w:rPr>
        <w:t xml:space="preserve"> &lt;</w:t>
      </w:r>
      <w:r>
        <w:rPr>
          <w:rFonts w:ascii="Times New Roman" w:hAnsi="Times New Roman"/>
          <w:sz w:val="22"/>
          <w:szCs w:val="22"/>
          <w:highlight w:val="yellow"/>
        </w:rPr>
        <w:t>insérer l’instrument finançant le projet/programme</w:t>
      </w:r>
      <w:r>
        <w:rPr>
          <w:rFonts w:ascii="Times New Roman" w:hAnsi="Times New Roman"/>
          <w:sz w:val="22"/>
          <w:szCs w:val="22"/>
        </w:rPr>
        <w:t xml:space="preserve">&gt;. </w:t>
      </w:r>
      <w:r w:rsidRPr="00D76E8A">
        <w:rPr>
          <w:rFonts w:ascii="Times New Roman" w:hAnsi="Times New Roman"/>
          <w:sz w:val="22"/>
          <w:szCs w:val="22"/>
          <w:highlight w:val="lightGray"/>
        </w:rPr>
        <w:t>Aux fins de la présente disposition, l’«origine» signifie l’endroit où les biens sont extraits, cultivés, produits ou manufacturés. L’origine des biens doit être déterminée en accord avec les codes des douanes de l’Union européenne ou de la convention internationale applicable en l’espèce.</w:t>
      </w:r>
      <w:r w:rsidR="00F85B06">
        <w:rPr>
          <w:rFonts w:ascii="Times New Roman" w:hAnsi="Times New Roman"/>
          <w:sz w:val="22"/>
          <w:szCs w:val="22"/>
        </w:rPr>
        <w:t>]</w:t>
      </w:r>
    </w:p>
    <w:p w14:paraId="232C584C" w14:textId="2004B2F1" w:rsidR="0047783A" w:rsidRPr="003D6B6C" w:rsidRDefault="0047783A" w:rsidP="004F7A0E">
      <w:pPr>
        <w:pStyle w:val="Heading2"/>
        <w:keepNext w:val="0"/>
        <w:numPr>
          <w:ilvl w:val="1"/>
          <w:numId w:val="0"/>
        </w:numPr>
        <w:ind w:left="113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yellow"/>
        </w:rPr>
        <w:t>FED:</w:t>
      </w:r>
      <w:r>
        <w:rPr>
          <w:rFonts w:ascii="Times New Roman" w:hAnsi="Times New Roman"/>
          <w:sz w:val="22"/>
          <w:szCs w:val="22"/>
        </w:rPr>
        <w:t xml:space="preserve"> </w:t>
      </w:r>
      <w:r>
        <w:rPr>
          <w:rFonts w:ascii="Times New Roman" w:hAnsi="Times New Roman"/>
          <w:sz w:val="22"/>
          <w:szCs w:val="22"/>
          <w:highlight w:val="lightGray"/>
        </w:rPr>
        <w:t>Les biens provenant de l’Union européenne incluent ceux issus des pays et territoires d’outre-mer.</w:t>
      </w:r>
      <w:r>
        <w:rPr>
          <w:rFonts w:ascii="Times New Roman" w:hAnsi="Times New Roman"/>
          <w:sz w:val="22"/>
          <w:szCs w:val="22"/>
        </w:rPr>
        <w:t>]</w:t>
      </w:r>
    </w:p>
    <w:p w14:paraId="04B63533" w14:textId="0E6E4A65" w:rsidR="008B230C" w:rsidRPr="003D6B6C" w:rsidRDefault="0047783A" w:rsidP="00A11551">
      <w:pPr>
        <w:ind w:left="1134"/>
        <w:jc w:val="both"/>
        <w:rPr>
          <w:rFonts w:ascii="Times New Roman" w:hAnsi="Times New Roman"/>
          <w:sz w:val="22"/>
          <w:szCs w:val="22"/>
        </w:rPr>
      </w:pPr>
      <w:r>
        <w:rPr>
          <w:rFonts w:ascii="Times New Roman" w:hAnsi="Times New Roman"/>
          <w:sz w:val="22"/>
          <w:szCs w:val="22"/>
        </w:rPr>
        <w:t>&lt;</w:t>
      </w:r>
      <w:r>
        <w:rPr>
          <w:rFonts w:ascii="Times New Roman" w:hAnsi="Times New Roman"/>
          <w:sz w:val="22"/>
          <w:szCs w:val="22"/>
          <w:highlight w:val="yellow"/>
        </w:rPr>
        <w:t>Indiquer toute dérogation aux règles d’origine</w:t>
      </w:r>
      <w:r>
        <w:rPr>
          <w:rFonts w:ascii="Times New Roman" w:hAnsi="Times New Roman"/>
          <w:sz w:val="22"/>
          <w:szCs w:val="22"/>
        </w:rPr>
        <w:t>&gt;</w:t>
      </w:r>
    </w:p>
    <w:p w14:paraId="08F8112F" w14:textId="29DF4F92" w:rsidR="0047783A" w:rsidRPr="003D6B6C" w:rsidRDefault="0047783A" w:rsidP="00B34179">
      <w:pPr>
        <w:spacing w:before="240"/>
        <w:ind w:left="1134" w:hanging="1134"/>
        <w:jc w:val="both"/>
        <w:rPr>
          <w:rFonts w:ascii="Times New Roman" w:hAnsi="Times New Roman"/>
          <w:b/>
          <w:sz w:val="24"/>
          <w:szCs w:val="24"/>
        </w:rPr>
      </w:pPr>
      <w:bookmarkStart w:id="7" w:name="_Toc124934901"/>
      <w:r>
        <w:rPr>
          <w:rFonts w:ascii="Times New Roman" w:hAnsi="Times New Roman"/>
          <w:b/>
          <w:sz w:val="24"/>
          <w:szCs w:val="24"/>
        </w:rPr>
        <w:t>Article 11</w:t>
      </w:r>
      <w:r>
        <w:rPr>
          <w:rFonts w:ascii="Times New Roman" w:hAnsi="Times New Roman"/>
          <w:b/>
          <w:sz w:val="24"/>
          <w:szCs w:val="24"/>
        </w:rPr>
        <w:tab/>
        <w:t>Garantie de bonne exécution</w:t>
      </w:r>
      <w:bookmarkEnd w:id="7"/>
    </w:p>
    <w:p w14:paraId="2FB7FBBC" w14:textId="77777777" w:rsidR="0047783A" w:rsidRPr="003D6B6C" w:rsidRDefault="00F355C1" w:rsidP="00F017DE">
      <w:pPr>
        <w:ind w:left="1134" w:hanging="709"/>
        <w:jc w:val="both"/>
        <w:rPr>
          <w:rFonts w:ascii="Times New Roman" w:hAnsi="Times New Roman"/>
          <w:sz w:val="22"/>
          <w:szCs w:val="22"/>
        </w:rPr>
      </w:pPr>
      <w:r>
        <w:rPr>
          <w:rFonts w:ascii="Times New Roman" w:hAnsi="Times New Roman"/>
          <w:sz w:val="22"/>
          <w:szCs w:val="22"/>
        </w:rPr>
        <w:lastRenderedPageBreak/>
        <w:t>11.1</w:t>
      </w:r>
      <w:r>
        <w:rPr>
          <w:rFonts w:ascii="Times New Roman" w:hAnsi="Times New Roman"/>
          <w:sz w:val="22"/>
          <w:szCs w:val="22"/>
        </w:rPr>
        <w:tab/>
        <w:t>[</w:t>
      </w:r>
      <w:r>
        <w:rPr>
          <w:rFonts w:ascii="Times New Roman" w:hAnsi="Times New Roman"/>
          <w:sz w:val="22"/>
          <w:szCs w:val="22"/>
          <w:highlight w:val="lightGray"/>
        </w:rPr>
        <w:t>Le montant de la garantie de bonne exécution est fixé à</w:t>
      </w:r>
      <w:r>
        <w:rPr>
          <w:rFonts w:ascii="Times New Roman" w:hAnsi="Times New Roman"/>
          <w:sz w:val="22"/>
          <w:szCs w:val="22"/>
        </w:rPr>
        <w:t xml:space="preserve"> &lt;</w:t>
      </w:r>
      <w:r>
        <w:rPr>
          <w:rFonts w:ascii="Times New Roman" w:hAnsi="Times New Roman"/>
          <w:sz w:val="22"/>
          <w:szCs w:val="22"/>
          <w:highlight w:val="yellow"/>
        </w:rPr>
        <w:t>insérer un pourcentage compris dans une fourchette entre 5 % et 10 %</w:t>
      </w:r>
      <w:r>
        <w:rPr>
          <w:rFonts w:ascii="Times New Roman" w:hAnsi="Times New Roman"/>
          <w:sz w:val="22"/>
          <w:szCs w:val="22"/>
        </w:rPr>
        <w:t>&gt;</w:t>
      </w:r>
      <w:r>
        <w:rPr>
          <w:rFonts w:ascii="Times New Roman" w:hAnsi="Times New Roman"/>
          <w:sz w:val="22"/>
          <w:szCs w:val="22"/>
          <w:highlight w:val="lightGray"/>
        </w:rPr>
        <w:t xml:space="preserve"> du montant total du marché, y compris les montants mentionnés dans ses avenants éventuels.</w:t>
      </w:r>
      <w:r>
        <w:rPr>
          <w:rFonts w:ascii="Times New Roman" w:hAnsi="Times New Roman"/>
          <w:sz w:val="22"/>
          <w:szCs w:val="22"/>
        </w:rPr>
        <w:t>]</w:t>
      </w:r>
    </w:p>
    <w:p w14:paraId="404135F6" w14:textId="77777777" w:rsidR="00D25711" w:rsidRPr="003D6B6C" w:rsidRDefault="00D25711" w:rsidP="0049293D">
      <w:pPr>
        <w:ind w:left="1134"/>
        <w:jc w:val="both"/>
        <w:rPr>
          <w:rFonts w:ascii="Times New Roman" w:hAnsi="Times New Roman"/>
          <w:sz w:val="22"/>
          <w:szCs w:val="22"/>
        </w:rPr>
      </w:pPr>
      <w:r>
        <w:rPr>
          <w:rFonts w:ascii="Times New Roman" w:hAnsi="Times New Roman"/>
          <w:sz w:val="22"/>
          <w:szCs w:val="22"/>
          <w:highlight w:val="yellow"/>
        </w:rPr>
        <w:t>OU: Pour des montants inférieurs ou égaux à 150 000 euros et sur la base de critères objectifs, tels que la nature et le montant du marché, il peut être décidé de ne pas exiger une telle garantie.</w:t>
      </w:r>
    </w:p>
    <w:p w14:paraId="20BFEFF7" w14:textId="77777777" w:rsidR="00D25711" w:rsidRPr="003D6B6C" w:rsidRDefault="0049293D" w:rsidP="003D6B6C">
      <w:pPr>
        <w:ind w:left="113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lightGray"/>
        </w:rPr>
        <w:t>Aucune garantie d’exécution n’est requise.</w:t>
      </w:r>
      <w:r>
        <w:rPr>
          <w:rFonts w:ascii="Times New Roman" w:hAnsi="Times New Roman"/>
          <w:sz w:val="22"/>
          <w:szCs w:val="22"/>
        </w:rPr>
        <w:t>]</w:t>
      </w:r>
    </w:p>
    <w:p w14:paraId="7E65A926" w14:textId="77777777" w:rsidR="0047783A" w:rsidRPr="003D6B6C" w:rsidRDefault="0047783A" w:rsidP="00B34179">
      <w:pPr>
        <w:spacing w:before="240"/>
        <w:ind w:left="1134" w:hanging="1134"/>
        <w:jc w:val="both"/>
        <w:rPr>
          <w:rFonts w:ascii="Times New Roman" w:hAnsi="Times New Roman"/>
          <w:b/>
          <w:sz w:val="24"/>
          <w:szCs w:val="24"/>
        </w:rPr>
      </w:pPr>
      <w:bookmarkStart w:id="8" w:name="_Toc124934902"/>
      <w:r>
        <w:rPr>
          <w:rFonts w:ascii="Times New Roman" w:hAnsi="Times New Roman"/>
          <w:b/>
          <w:sz w:val="24"/>
          <w:szCs w:val="24"/>
        </w:rPr>
        <w:t>Article 12</w:t>
      </w:r>
      <w:r>
        <w:rPr>
          <w:rFonts w:ascii="Times New Roman" w:hAnsi="Times New Roman"/>
          <w:b/>
          <w:sz w:val="24"/>
          <w:szCs w:val="24"/>
        </w:rPr>
        <w:tab/>
        <w:t>Responsabilité et assurances</w:t>
      </w:r>
      <w:bookmarkEnd w:id="8"/>
    </w:p>
    <w:p w14:paraId="1D170F84" w14:textId="77777777" w:rsidR="0049293D" w:rsidRDefault="004D33C9" w:rsidP="003D6B6C">
      <w:pPr>
        <w:tabs>
          <w:tab w:val="left" w:pos="1134"/>
        </w:tabs>
        <w:spacing w:before="240"/>
        <w:ind w:left="1134" w:hanging="708"/>
        <w:jc w:val="both"/>
        <w:rPr>
          <w:rFonts w:ascii="Times New Roman" w:hAnsi="Times New Roman"/>
          <w:sz w:val="22"/>
          <w:szCs w:val="22"/>
          <w:highlight w:val="yellow"/>
        </w:rPr>
      </w:pPr>
      <w:r>
        <w:rPr>
          <w:rFonts w:ascii="Times New Roman" w:hAnsi="Times New Roman"/>
          <w:sz w:val="22"/>
          <w:szCs w:val="22"/>
        </w:rPr>
        <w:t>12.1 a)</w:t>
      </w:r>
      <w:r>
        <w:rPr>
          <w:rFonts w:ascii="Times New Roman" w:hAnsi="Times New Roman"/>
          <w:sz w:val="22"/>
          <w:szCs w:val="22"/>
        </w:rPr>
        <w:tab/>
        <w:t>&lt;</w:t>
      </w:r>
      <w:r>
        <w:rPr>
          <w:rFonts w:ascii="Times New Roman" w:hAnsi="Times New Roman"/>
          <w:sz w:val="22"/>
          <w:szCs w:val="22"/>
          <w:highlight w:val="yellow"/>
        </w:rPr>
        <w:t>Préciser ici les exigences spécifiques en matière de responsabilités en cas de dommage aux fournitures</w:t>
      </w:r>
      <w:r>
        <w:rPr>
          <w:rFonts w:ascii="Times New Roman" w:hAnsi="Times New Roman"/>
          <w:sz w:val="22"/>
          <w:szCs w:val="22"/>
        </w:rPr>
        <w:t>&gt;</w:t>
      </w:r>
    </w:p>
    <w:p w14:paraId="18BB0669" w14:textId="77777777" w:rsidR="004D33C9" w:rsidRPr="003D6B6C" w:rsidRDefault="004D33C9" w:rsidP="00DD2B6E">
      <w:pPr>
        <w:tabs>
          <w:tab w:val="left" w:pos="1134"/>
        </w:tabs>
        <w:spacing w:before="240"/>
        <w:ind w:left="113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yellow"/>
        </w:rPr>
        <w:t>Si vous jugez nécessaire de fixer un plafond autre que celui visé aux conditions générales rajouter ici la clause suivante</w:t>
      </w:r>
      <w:r>
        <w:rPr>
          <w:rFonts w:ascii="Times New Roman" w:hAnsi="Times New Roman"/>
          <w:sz w:val="22"/>
          <w:szCs w:val="22"/>
        </w:rPr>
        <w:t>:</w:t>
      </w:r>
    </w:p>
    <w:p w14:paraId="59F19A3F" w14:textId="77777777" w:rsidR="004D33C9" w:rsidRPr="003D6B6C" w:rsidRDefault="00B2529B" w:rsidP="003D6B6C">
      <w:pPr>
        <w:tabs>
          <w:tab w:val="left" w:pos="1134"/>
        </w:tabs>
        <w:spacing w:before="240"/>
        <w:ind w:left="113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lightGray"/>
        </w:rPr>
        <w:t>En dérogation à l’article 12, paragraphe 1, point a), deuxième alinéa, des conditions générales, l’indemnisation des dommages aux fournitures issus de la responsabilité du contractant à l’égard du pouvoir adjudicateur est plafonnée à un montant égal à</w:t>
      </w:r>
      <w:r>
        <w:rPr>
          <w:rFonts w:ascii="Times New Roman" w:hAnsi="Times New Roman"/>
          <w:sz w:val="22"/>
          <w:szCs w:val="22"/>
        </w:rPr>
        <w:t xml:space="preserve"> &lt;</w:t>
      </w:r>
      <w:r>
        <w:rPr>
          <w:rFonts w:ascii="Times New Roman" w:hAnsi="Times New Roman"/>
          <w:sz w:val="22"/>
          <w:szCs w:val="22"/>
          <w:highlight w:val="yellow"/>
        </w:rPr>
        <w:t>compléter avec un montant qui peut être un multiple ou une fraction du montant du marché</w:t>
      </w:r>
      <w:r>
        <w:rPr>
          <w:rFonts w:ascii="Times New Roman" w:hAnsi="Times New Roman"/>
          <w:sz w:val="22"/>
          <w:szCs w:val="22"/>
        </w:rPr>
        <w:t>&gt;</w:t>
      </w:r>
      <w:r>
        <w:rPr>
          <w:rFonts w:ascii="Times New Roman" w:hAnsi="Times New Roman"/>
          <w:sz w:val="22"/>
          <w:szCs w:val="22"/>
          <w:highlight w:val="lightGray"/>
        </w:rPr>
        <w:t>.</w:t>
      </w:r>
      <w:r>
        <w:rPr>
          <w:rFonts w:ascii="Times New Roman" w:hAnsi="Times New Roman"/>
          <w:sz w:val="22"/>
          <w:szCs w:val="22"/>
        </w:rPr>
        <w:t>»]</w:t>
      </w:r>
    </w:p>
    <w:p w14:paraId="24B75441" w14:textId="77777777" w:rsidR="0049293D" w:rsidRDefault="004D33C9" w:rsidP="003D6B6C">
      <w:pPr>
        <w:tabs>
          <w:tab w:val="left" w:pos="1134"/>
        </w:tabs>
        <w:spacing w:before="240"/>
        <w:ind w:left="1134" w:hanging="708"/>
        <w:jc w:val="both"/>
        <w:rPr>
          <w:rFonts w:ascii="Times New Roman" w:hAnsi="Times New Roman"/>
          <w:sz w:val="22"/>
          <w:szCs w:val="22"/>
          <w:highlight w:val="yellow"/>
        </w:rPr>
      </w:pPr>
      <w:r>
        <w:rPr>
          <w:rFonts w:ascii="Times New Roman" w:hAnsi="Times New Roman"/>
          <w:sz w:val="22"/>
          <w:szCs w:val="22"/>
        </w:rPr>
        <w:t>12.1 b)</w:t>
      </w:r>
      <w:r>
        <w:rPr>
          <w:rFonts w:ascii="Times New Roman" w:hAnsi="Times New Roman"/>
          <w:sz w:val="22"/>
          <w:szCs w:val="22"/>
        </w:rPr>
        <w:tab/>
        <w:t>&lt;</w:t>
      </w:r>
      <w:r>
        <w:rPr>
          <w:rFonts w:ascii="Times New Roman" w:hAnsi="Times New Roman"/>
          <w:sz w:val="22"/>
          <w:szCs w:val="22"/>
          <w:highlight w:val="yellow"/>
        </w:rPr>
        <w:t>Préciser ici les exigences spécifiques en matière de responsabilités en cas de dommage causé au pouvoir adjudicateur</w:t>
      </w:r>
      <w:r>
        <w:rPr>
          <w:rFonts w:ascii="Times New Roman" w:hAnsi="Times New Roman"/>
          <w:sz w:val="22"/>
          <w:szCs w:val="22"/>
        </w:rPr>
        <w:t>&gt;</w:t>
      </w:r>
      <w:r>
        <w:rPr>
          <w:rFonts w:ascii="Times New Roman" w:hAnsi="Times New Roman"/>
          <w:sz w:val="22"/>
          <w:szCs w:val="22"/>
          <w:highlight w:val="yellow"/>
        </w:rPr>
        <w:t xml:space="preserve"> </w:t>
      </w:r>
    </w:p>
    <w:p w14:paraId="282814A3" w14:textId="77777777" w:rsidR="004D33C9" w:rsidRPr="003D6B6C" w:rsidRDefault="004D33C9" w:rsidP="00DD2B6E">
      <w:pPr>
        <w:tabs>
          <w:tab w:val="left" w:pos="1134"/>
        </w:tabs>
        <w:spacing w:before="240"/>
        <w:ind w:left="113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yellow"/>
        </w:rPr>
        <w:t>Si vous jugez nécessaire de fixer un plafond autre que celui visé aux conditions générales rajouter ici la clause suivante:</w:t>
      </w:r>
    </w:p>
    <w:p w14:paraId="24AC6E95" w14:textId="77777777" w:rsidR="004D33C9" w:rsidRPr="003D6B6C" w:rsidRDefault="00B2529B" w:rsidP="003D6B6C">
      <w:pPr>
        <w:tabs>
          <w:tab w:val="left" w:pos="1134"/>
        </w:tabs>
        <w:spacing w:before="240"/>
        <w:ind w:left="113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lightGray"/>
        </w:rPr>
        <w:t xml:space="preserve">En dérogation à l’article 12, paragraphe 1, point b), deuxième alinéa, des conditions générales, l’indemnisation des dommages issus de la responsabilité du contractant à l’égard du pouvoir adjudicateur est plafonnée à un montant égal à </w:t>
      </w:r>
      <w:r>
        <w:rPr>
          <w:rFonts w:ascii="Times New Roman" w:hAnsi="Times New Roman"/>
          <w:sz w:val="22"/>
          <w:szCs w:val="22"/>
        </w:rPr>
        <w:t>&lt;</w:t>
      </w:r>
      <w:r>
        <w:rPr>
          <w:rFonts w:ascii="Times New Roman" w:hAnsi="Times New Roman"/>
          <w:sz w:val="22"/>
          <w:szCs w:val="22"/>
          <w:highlight w:val="yellow"/>
        </w:rPr>
        <w:t>compléter avec un montant qui peut être un multiple ou une fraction de la valeur du marché</w:t>
      </w:r>
      <w:r>
        <w:rPr>
          <w:rFonts w:ascii="Times New Roman" w:hAnsi="Times New Roman"/>
          <w:sz w:val="22"/>
          <w:szCs w:val="22"/>
        </w:rPr>
        <w:t>&gt;</w:t>
      </w:r>
      <w:r>
        <w:rPr>
          <w:rFonts w:ascii="Times New Roman" w:hAnsi="Times New Roman"/>
          <w:sz w:val="22"/>
          <w:szCs w:val="22"/>
          <w:highlight w:val="lightGray"/>
        </w:rPr>
        <w:t>.</w:t>
      </w:r>
      <w:r>
        <w:rPr>
          <w:rFonts w:ascii="Times New Roman" w:hAnsi="Times New Roman"/>
          <w:sz w:val="22"/>
          <w:szCs w:val="22"/>
        </w:rPr>
        <w:t>»]</w:t>
      </w:r>
    </w:p>
    <w:p w14:paraId="061B1AE8" w14:textId="77777777" w:rsidR="0049293D" w:rsidRDefault="003D6B6C" w:rsidP="003D6B6C">
      <w:pPr>
        <w:tabs>
          <w:tab w:val="left" w:pos="1843"/>
        </w:tabs>
        <w:spacing w:before="240"/>
        <w:ind w:left="1843" w:hanging="1843"/>
        <w:jc w:val="both"/>
        <w:rPr>
          <w:rFonts w:ascii="Times New Roman" w:hAnsi="Times New Roman"/>
          <w:sz w:val="22"/>
          <w:szCs w:val="22"/>
          <w:highlight w:val="yellow"/>
        </w:rPr>
      </w:pPr>
      <w:r>
        <w:rPr>
          <w:rFonts w:ascii="Times New Roman" w:hAnsi="Times New Roman"/>
          <w:sz w:val="22"/>
          <w:szCs w:val="22"/>
        </w:rPr>
        <w:t>12.2 a), premier alinéa</w:t>
      </w:r>
      <w:r>
        <w:rPr>
          <w:rFonts w:ascii="Times New Roman" w:hAnsi="Times New Roman"/>
          <w:sz w:val="22"/>
          <w:szCs w:val="22"/>
        </w:rPr>
        <w:tab/>
        <w:t>&lt;</w:t>
      </w:r>
      <w:r>
        <w:rPr>
          <w:rFonts w:ascii="Times New Roman" w:hAnsi="Times New Roman"/>
          <w:sz w:val="22"/>
          <w:szCs w:val="22"/>
          <w:highlight w:val="yellow"/>
        </w:rPr>
        <w:t>Préciser ici les exigences spécifiques quant au moment où les exigences de preuve de conclusion des assurances adéquates doivent être fournies</w:t>
      </w:r>
      <w:r>
        <w:rPr>
          <w:rFonts w:ascii="Times New Roman" w:hAnsi="Times New Roman"/>
          <w:sz w:val="22"/>
          <w:szCs w:val="22"/>
        </w:rPr>
        <w:t>&gt;</w:t>
      </w:r>
      <w:r>
        <w:rPr>
          <w:rFonts w:ascii="Times New Roman" w:hAnsi="Times New Roman"/>
          <w:sz w:val="22"/>
          <w:szCs w:val="22"/>
          <w:highlight w:val="yellow"/>
        </w:rPr>
        <w:t xml:space="preserve"> </w:t>
      </w:r>
    </w:p>
    <w:p w14:paraId="58E3E26A" w14:textId="77777777" w:rsidR="004D33C9" w:rsidRPr="003D6B6C" w:rsidRDefault="004D33C9" w:rsidP="00DD2B6E">
      <w:pPr>
        <w:tabs>
          <w:tab w:val="left" w:pos="1843"/>
        </w:tabs>
        <w:spacing w:before="240"/>
        <w:ind w:left="1843"/>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yellow"/>
        </w:rPr>
        <w:t>Si vous jugez nécessaire de modaliser différemment le moment où les exigences en matière de preuve d’assurances doivent être remplies, rajouter ici la clause suivante:</w:t>
      </w:r>
    </w:p>
    <w:p w14:paraId="3971D5D3" w14:textId="13B79D63" w:rsidR="004D33C9" w:rsidRPr="003D6B6C" w:rsidRDefault="004D33C9" w:rsidP="003D6B6C">
      <w:pPr>
        <w:tabs>
          <w:tab w:val="left" w:pos="1843"/>
        </w:tabs>
        <w:spacing w:before="240"/>
        <w:ind w:left="1843"/>
        <w:jc w:val="both"/>
        <w:rPr>
          <w:rFonts w:ascii="Times New Roman" w:hAnsi="Times New Roman"/>
          <w:sz w:val="22"/>
          <w:szCs w:val="22"/>
        </w:rPr>
      </w:pPr>
      <w:r>
        <w:rPr>
          <w:rFonts w:ascii="Times New Roman" w:hAnsi="Times New Roman"/>
          <w:sz w:val="22"/>
          <w:szCs w:val="22"/>
          <w:highlight w:val="lightGray"/>
        </w:rPr>
        <w:t>En dérogation à l’article 12, paragraphe 2, point a), premier alinéa, des conditions générales, c’est [</w:t>
      </w:r>
      <w:r>
        <w:rPr>
          <w:rFonts w:ascii="Times New Roman" w:hAnsi="Times New Roman"/>
          <w:sz w:val="22"/>
          <w:szCs w:val="22"/>
          <w:highlight w:val="yellow"/>
        </w:rPr>
        <w:t>indiquer à quel moment</w:t>
      </w:r>
      <w:r>
        <w:rPr>
          <w:rFonts w:ascii="Times New Roman" w:hAnsi="Times New Roman"/>
          <w:color w:val="222222"/>
          <w:sz w:val="22"/>
          <w:szCs w:val="22"/>
          <w:highlight w:val="lightGray"/>
        </w:rPr>
        <w:t>] que le contractant veille à ce que lui-même, son personnel, ses sous-traitants et toute personne dont le contractant doit répondre, soient adéquatement assurés auprès de compagnies d’assurances reconnues sur le marché international de l’assurance, à moins que le pouvoir adjudicateur n’ait marqué son accord exprès et écrit sur une compagnie d’assurances déterminée.</w:t>
      </w:r>
      <w:r>
        <w:rPr>
          <w:rFonts w:ascii="Times New Roman" w:hAnsi="Times New Roman"/>
          <w:sz w:val="22"/>
          <w:szCs w:val="22"/>
        </w:rPr>
        <w:t>]</w:t>
      </w:r>
    </w:p>
    <w:p w14:paraId="5F24C6E8" w14:textId="77777777" w:rsidR="0049293D" w:rsidRDefault="003D6B6C" w:rsidP="003D6B6C">
      <w:pPr>
        <w:tabs>
          <w:tab w:val="left" w:pos="1843"/>
        </w:tabs>
        <w:spacing w:before="240"/>
        <w:ind w:left="1843" w:hanging="1843"/>
        <w:jc w:val="both"/>
        <w:rPr>
          <w:rFonts w:ascii="Times New Roman" w:hAnsi="Times New Roman"/>
          <w:sz w:val="22"/>
          <w:szCs w:val="22"/>
          <w:highlight w:val="yellow"/>
        </w:rPr>
      </w:pPr>
      <w:r>
        <w:rPr>
          <w:rFonts w:ascii="Times New Roman" w:hAnsi="Times New Roman"/>
          <w:sz w:val="22"/>
          <w:szCs w:val="22"/>
        </w:rPr>
        <w:lastRenderedPageBreak/>
        <w:t>12.2 a), deuxième alinéa</w:t>
      </w:r>
      <w:r>
        <w:rPr>
          <w:rFonts w:ascii="Times New Roman" w:hAnsi="Times New Roman"/>
          <w:sz w:val="22"/>
          <w:szCs w:val="22"/>
        </w:rPr>
        <w:tab/>
        <w:t>&lt;</w:t>
      </w:r>
      <w:r>
        <w:rPr>
          <w:rFonts w:ascii="Times New Roman" w:hAnsi="Times New Roman"/>
          <w:sz w:val="22"/>
          <w:szCs w:val="22"/>
          <w:highlight w:val="yellow"/>
        </w:rPr>
        <w:t>Préciser ici les exigences spécifiques quant au moment où les exigences de communication des notes de couvertures et/ou certificats d’assurances doivent être remplies</w:t>
      </w:r>
      <w:r>
        <w:rPr>
          <w:rFonts w:ascii="Times New Roman" w:hAnsi="Times New Roman"/>
          <w:sz w:val="22"/>
          <w:szCs w:val="22"/>
        </w:rPr>
        <w:t>&gt;</w:t>
      </w:r>
      <w:r>
        <w:rPr>
          <w:rFonts w:ascii="Times New Roman" w:hAnsi="Times New Roman"/>
          <w:sz w:val="22"/>
          <w:szCs w:val="22"/>
          <w:highlight w:val="yellow"/>
        </w:rPr>
        <w:t xml:space="preserve"> </w:t>
      </w:r>
    </w:p>
    <w:p w14:paraId="20EFA885" w14:textId="77777777" w:rsidR="004D33C9" w:rsidRPr="003D6B6C" w:rsidRDefault="004D33C9" w:rsidP="00DD2B6E">
      <w:pPr>
        <w:tabs>
          <w:tab w:val="left" w:pos="1843"/>
        </w:tabs>
        <w:spacing w:before="240"/>
        <w:ind w:left="1843"/>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yellow"/>
        </w:rPr>
        <w:t>Si vous jugez nécessaire de modaliser différemment le moment de communication des notes de couvertures et/ou certificats d’assurances, rajouter ici la clause suivante:</w:t>
      </w:r>
    </w:p>
    <w:p w14:paraId="2520C1EC" w14:textId="77777777" w:rsidR="004D33C9" w:rsidRPr="003D6B6C" w:rsidRDefault="004D33C9" w:rsidP="003D6B6C">
      <w:pPr>
        <w:spacing w:before="240"/>
        <w:ind w:left="1843"/>
        <w:jc w:val="both"/>
        <w:rPr>
          <w:rFonts w:ascii="Times New Roman" w:hAnsi="Times New Roman"/>
          <w:sz w:val="22"/>
          <w:szCs w:val="22"/>
        </w:rPr>
      </w:pPr>
      <w:r>
        <w:rPr>
          <w:rFonts w:ascii="Times New Roman" w:hAnsi="Times New Roman"/>
          <w:sz w:val="22"/>
          <w:szCs w:val="22"/>
          <w:highlight w:val="lightGray"/>
        </w:rPr>
        <w:t>En dérogation à l’article 12, paragraphe 2, point a), deuxième alinéa, des conditions générales, c’est [</w:t>
      </w:r>
      <w:r>
        <w:rPr>
          <w:rFonts w:ascii="Times New Roman" w:hAnsi="Times New Roman"/>
          <w:sz w:val="22"/>
          <w:szCs w:val="22"/>
          <w:highlight w:val="yellow"/>
        </w:rPr>
        <w:t>indiquer à quel moment</w:t>
      </w:r>
      <w:r>
        <w:rPr>
          <w:rFonts w:ascii="Times New Roman" w:hAnsi="Times New Roman"/>
          <w:sz w:val="22"/>
          <w:szCs w:val="22"/>
          <w:highlight w:val="lightGray"/>
        </w:rPr>
        <w:t>] que le contractant fournira au pouvoir adjudicateur toutes les notes de couverture et/ou certificats d’assurance démontrant que les obligations du contractant en matière d’assurances sont pleinement respectées.</w:t>
      </w:r>
      <w:r>
        <w:rPr>
          <w:rFonts w:ascii="Times New Roman" w:hAnsi="Times New Roman"/>
          <w:sz w:val="22"/>
          <w:szCs w:val="22"/>
        </w:rPr>
        <w:t xml:space="preserve"> ]</w:t>
      </w:r>
    </w:p>
    <w:p w14:paraId="74BC38C6" w14:textId="77777777" w:rsidR="00584F28" w:rsidRPr="003D6B6C" w:rsidRDefault="003D6B6C" w:rsidP="003D6B6C">
      <w:pPr>
        <w:ind w:left="1843" w:hanging="1843"/>
        <w:jc w:val="both"/>
        <w:rPr>
          <w:rFonts w:ascii="Times New Roman" w:hAnsi="Times New Roman"/>
          <w:sz w:val="22"/>
          <w:szCs w:val="22"/>
        </w:rPr>
      </w:pPr>
      <w:r>
        <w:rPr>
          <w:rFonts w:ascii="Times New Roman" w:hAnsi="Times New Roman"/>
          <w:sz w:val="22"/>
          <w:szCs w:val="22"/>
        </w:rPr>
        <w:t>12.2 b), deuxième alinéa</w:t>
      </w:r>
      <w:r>
        <w:rPr>
          <w:rFonts w:ascii="Times New Roman" w:hAnsi="Times New Roman"/>
          <w:sz w:val="22"/>
          <w:szCs w:val="22"/>
        </w:rPr>
        <w:tab/>
        <w:t>&lt;</w:t>
      </w:r>
      <w:r>
        <w:rPr>
          <w:rFonts w:ascii="Times New Roman" w:hAnsi="Times New Roman"/>
          <w:sz w:val="22"/>
          <w:szCs w:val="22"/>
          <w:highlight w:val="yellow"/>
        </w:rPr>
        <w:t>Préciser les exigences spécifiques en matière d’assurance pour couvrir le transport des fournitures</w:t>
      </w:r>
      <w:r>
        <w:rPr>
          <w:rFonts w:ascii="Times New Roman" w:hAnsi="Times New Roman"/>
          <w:sz w:val="22"/>
          <w:szCs w:val="22"/>
        </w:rPr>
        <w:t>&gt;</w:t>
      </w:r>
    </w:p>
    <w:p w14:paraId="73DAED0D" w14:textId="77777777" w:rsidR="00F51D3D" w:rsidRPr="003D6B6C" w:rsidRDefault="00F51D3D" w:rsidP="003D6B6C">
      <w:pPr>
        <w:ind w:left="1843"/>
        <w:jc w:val="both"/>
        <w:rPr>
          <w:rFonts w:ascii="Times New Roman" w:hAnsi="Times New Roman"/>
          <w:color w:val="222222"/>
          <w:sz w:val="22"/>
          <w:szCs w:val="22"/>
          <w:highlight w:val="yellow"/>
        </w:rPr>
      </w:pPr>
      <w:r>
        <w:rPr>
          <w:rFonts w:ascii="Times New Roman" w:hAnsi="Times New Roman"/>
          <w:color w:val="222222"/>
          <w:sz w:val="22"/>
          <w:szCs w:val="22"/>
          <w:highlight w:val="yellow"/>
        </w:rPr>
        <w:t>Ce type d’assurance variera en fonction de la nature du transport (terrestre, aérien ou maritime) et de la nature des risques que l’on veut couvrir: chargement, entreposage intermédiaire, déchargement, y compris l’arrimage et la protection, vol, avarie, perte, mouille, etc.</w:t>
      </w:r>
    </w:p>
    <w:p w14:paraId="30C505EF" w14:textId="77777777" w:rsidR="00F51D3D" w:rsidRPr="003D6B6C" w:rsidRDefault="00E76535" w:rsidP="003D6B6C">
      <w:pPr>
        <w:ind w:left="1843"/>
        <w:jc w:val="both"/>
        <w:rPr>
          <w:rFonts w:ascii="Times New Roman" w:hAnsi="Times New Roman"/>
          <w:color w:val="222222"/>
          <w:sz w:val="22"/>
          <w:szCs w:val="22"/>
          <w:highlight w:val="yellow"/>
        </w:rPr>
      </w:pPr>
      <w:r>
        <w:rPr>
          <w:rFonts w:ascii="Times New Roman" w:hAnsi="Times New Roman"/>
          <w:color w:val="222222"/>
          <w:sz w:val="22"/>
          <w:szCs w:val="22"/>
          <w:highlight w:val="yellow"/>
        </w:rPr>
        <w:t>Dans le cas d’utilisation des Incoterms, le contractant doit prévoir l’assurance transport dans la mesure où il assume les risques de transport. La question de la mesure des risques assumés par le contractant (vendeur) dépend notamment des Incoterms utilisés:</w:t>
      </w:r>
    </w:p>
    <w:p w14:paraId="11815F32" w14:textId="77777777" w:rsidR="00E76535" w:rsidRPr="003D6B6C" w:rsidRDefault="00E76535" w:rsidP="003D6B6C">
      <w:pPr>
        <w:pStyle w:val="Default"/>
        <w:numPr>
          <w:ilvl w:val="0"/>
          <w:numId w:val="22"/>
        </w:numPr>
        <w:ind w:left="2268"/>
        <w:jc w:val="both"/>
        <w:rPr>
          <w:sz w:val="22"/>
          <w:szCs w:val="22"/>
          <w:highlight w:val="yellow"/>
        </w:rPr>
      </w:pPr>
      <w:r>
        <w:rPr>
          <w:b/>
          <w:i/>
          <w:iCs/>
          <w:sz w:val="22"/>
          <w:szCs w:val="22"/>
          <w:highlight w:val="yellow"/>
        </w:rPr>
        <w:t>DDP - Rendu droits acquittés</w:t>
      </w:r>
      <w:r>
        <w:rPr>
          <w:i/>
          <w:iCs/>
          <w:sz w:val="22"/>
          <w:szCs w:val="22"/>
          <w:highlight w:val="yellow"/>
        </w:rPr>
        <w:t xml:space="preserve">: </w:t>
      </w:r>
      <w:r>
        <w:rPr>
          <w:color w:val="222222"/>
          <w:sz w:val="22"/>
          <w:szCs w:val="22"/>
          <w:highlight w:val="yellow"/>
        </w:rPr>
        <w:t>Règle Incoterm qui impose au vendeur le maximum d’obligations vis-à-vis du transport et des risques de perte et de dommage liés à la marchandise:</w:t>
      </w:r>
    </w:p>
    <w:p w14:paraId="2B2DAB93" w14:textId="77777777" w:rsidR="00EF6552" w:rsidRPr="003D6B6C" w:rsidRDefault="00B2529B" w:rsidP="003D6B6C">
      <w:pPr>
        <w:pStyle w:val="Default"/>
        <w:spacing w:after="120"/>
        <w:ind w:left="2268"/>
        <w:jc w:val="both"/>
        <w:rPr>
          <w:color w:val="222222"/>
          <w:sz w:val="22"/>
          <w:szCs w:val="22"/>
        </w:rPr>
      </w:pPr>
      <w:r>
        <w:rPr>
          <w:i/>
          <w:iCs/>
          <w:sz w:val="22"/>
          <w:szCs w:val="22"/>
          <w:highlight w:val="yellow"/>
        </w:rPr>
        <w:t>«la marchandise est livrée à l’acheteur, dédouanée à l’importation, sur le véhicule de transport d’approche, prête à être déchargée au lieu de destination convenu. Le vendeur assume tous les frais et risques liés à l’acheminement de la marchandise jusqu’au lieu de destination convenu, en ce compris les formalités de dédouanement à l’exportation et à l’importation des biens ainsi que les droits et taxes y afférents.</w:t>
      </w:r>
      <w:r w:rsidR="00297C14" w:rsidRPr="003D6B6C">
        <w:rPr>
          <w:rStyle w:val="FootnoteReference"/>
          <w:i/>
          <w:iCs/>
          <w:sz w:val="22"/>
          <w:szCs w:val="22"/>
          <w:highlight w:val="yellow"/>
        </w:rPr>
        <w:footnoteReference w:id="1"/>
      </w:r>
      <w:r>
        <w:rPr>
          <w:i/>
          <w:iCs/>
          <w:sz w:val="22"/>
          <w:szCs w:val="22"/>
          <w:highlight w:val="yellow"/>
        </w:rPr>
        <w:t xml:space="preserve">» </w:t>
      </w:r>
      <w:r>
        <w:rPr>
          <w:color w:val="222222"/>
          <w:sz w:val="22"/>
          <w:szCs w:val="22"/>
          <w:highlight w:val="yellow"/>
        </w:rPr>
        <w:t>Le transfert des risques et des frais a lieu à l’endroit du déchargement des biens, au lieu de destination convenu.</w:t>
      </w:r>
    </w:p>
    <w:p w14:paraId="121BF8E7" w14:textId="77777777" w:rsidR="0045678B" w:rsidRPr="003D6B6C" w:rsidRDefault="00E76535" w:rsidP="003D6B6C">
      <w:pPr>
        <w:pStyle w:val="Default"/>
        <w:numPr>
          <w:ilvl w:val="0"/>
          <w:numId w:val="22"/>
        </w:numPr>
        <w:ind w:left="2268"/>
        <w:jc w:val="both"/>
        <w:rPr>
          <w:sz w:val="22"/>
          <w:szCs w:val="22"/>
          <w:highlight w:val="yellow"/>
        </w:rPr>
      </w:pPr>
      <w:r>
        <w:rPr>
          <w:b/>
          <w:i/>
          <w:iCs/>
          <w:sz w:val="22"/>
          <w:szCs w:val="22"/>
          <w:highlight w:val="yellow"/>
        </w:rPr>
        <w:t>DAP - Rendu au lieu de destination</w:t>
      </w:r>
      <w:r>
        <w:rPr>
          <w:i/>
          <w:iCs/>
          <w:sz w:val="22"/>
          <w:szCs w:val="22"/>
          <w:highlight w:val="yellow"/>
        </w:rPr>
        <w:t xml:space="preserve">: </w:t>
      </w:r>
      <w:r>
        <w:rPr>
          <w:sz w:val="22"/>
          <w:szCs w:val="22"/>
          <w:highlight w:val="yellow"/>
        </w:rPr>
        <w:t>Incoterm qui impose au vendeur d’assumer tous les frais et risques liés au dédouanement des importations:</w:t>
      </w:r>
    </w:p>
    <w:p w14:paraId="562868DE" w14:textId="77777777" w:rsidR="00E76535" w:rsidRPr="003D6B6C" w:rsidRDefault="00B2529B" w:rsidP="003D6B6C">
      <w:pPr>
        <w:pStyle w:val="Default"/>
        <w:ind w:left="2268"/>
        <w:jc w:val="both"/>
        <w:rPr>
          <w:sz w:val="22"/>
          <w:szCs w:val="22"/>
        </w:rPr>
      </w:pPr>
      <w:r>
        <w:rPr>
          <w:i/>
          <w:iCs/>
          <w:sz w:val="22"/>
          <w:szCs w:val="22"/>
          <w:highlight w:val="yellow"/>
        </w:rPr>
        <w:t xml:space="preserve">«la marchandise est livrée à l’acheteur sur le véhicule de transport d’approche, prête à être déchargée au lieu de destination convenu. </w:t>
      </w:r>
      <w:r>
        <w:rPr>
          <w:i/>
          <w:color w:val="222222"/>
          <w:sz w:val="22"/>
          <w:szCs w:val="22"/>
          <w:highlight w:val="yellow"/>
        </w:rPr>
        <w:t>Le vendeur assume tous les frais et risques liés à l’expédition des marchandises jusqu’à ce point</w:t>
      </w:r>
      <w:r w:rsidR="00297C14" w:rsidRPr="003D6B6C">
        <w:rPr>
          <w:rStyle w:val="FootnoteReference"/>
          <w:i/>
          <w:iCs/>
          <w:sz w:val="22"/>
          <w:szCs w:val="22"/>
          <w:highlight w:val="yellow"/>
        </w:rPr>
        <w:footnoteReference w:id="2"/>
      </w:r>
      <w:r>
        <w:rPr>
          <w:i/>
          <w:color w:val="222222"/>
          <w:sz w:val="22"/>
          <w:szCs w:val="22"/>
          <w:highlight w:val="yellow"/>
        </w:rPr>
        <w:t>»</w:t>
      </w:r>
      <w:r>
        <w:rPr>
          <w:color w:val="222222"/>
          <w:sz w:val="22"/>
          <w:szCs w:val="22"/>
          <w:highlight w:val="yellow"/>
        </w:rPr>
        <w:t>, y compris le dédouanement à l’exportation, mais non à l’importation au port ou à la frontière du lieu de destination convenu.</w:t>
      </w:r>
    </w:p>
    <w:p w14:paraId="674BFA44" w14:textId="77777777" w:rsidR="0047783A" w:rsidRPr="003D6B6C" w:rsidRDefault="0047783A" w:rsidP="00B34179">
      <w:pPr>
        <w:spacing w:before="240"/>
        <w:ind w:left="1134" w:hanging="1134"/>
        <w:jc w:val="both"/>
        <w:rPr>
          <w:rFonts w:ascii="Times New Roman" w:hAnsi="Times New Roman"/>
          <w:b/>
          <w:sz w:val="24"/>
          <w:szCs w:val="24"/>
        </w:rPr>
      </w:pPr>
      <w:bookmarkStart w:id="9" w:name="_Toc124934903"/>
      <w:r>
        <w:rPr>
          <w:rFonts w:ascii="Times New Roman" w:hAnsi="Times New Roman"/>
          <w:b/>
          <w:sz w:val="24"/>
          <w:szCs w:val="24"/>
        </w:rPr>
        <w:t>Article 13</w:t>
      </w:r>
      <w:r>
        <w:rPr>
          <w:rFonts w:ascii="Times New Roman" w:hAnsi="Times New Roman"/>
          <w:b/>
          <w:sz w:val="24"/>
          <w:szCs w:val="24"/>
        </w:rPr>
        <w:tab/>
      </w:r>
      <w:bookmarkEnd w:id="9"/>
      <w:r>
        <w:rPr>
          <w:rFonts w:ascii="Times New Roman" w:hAnsi="Times New Roman"/>
          <w:b/>
          <w:sz w:val="24"/>
          <w:szCs w:val="24"/>
        </w:rPr>
        <w:t>Programme de mise en œuvre des tâches</w:t>
      </w:r>
    </w:p>
    <w:p w14:paraId="68CCF8F0" w14:textId="77777777" w:rsidR="0047783A" w:rsidRPr="003D6B6C" w:rsidRDefault="00AC1107" w:rsidP="005D03AA">
      <w:pPr>
        <w:ind w:left="1134" w:hanging="709"/>
        <w:jc w:val="both"/>
        <w:rPr>
          <w:rFonts w:ascii="Times New Roman" w:hAnsi="Times New Roman"/>
          <w:b/>
          <w:sz w:val="22"/>
          <w:szCs w:val="22"/>
        </w:rPr>
      </w:pPr>
      <w:r>
        <w:rPr>
          <w:rFonts w:ascii="Times New Roman" w:hAnsi="Times New Roman"/>
          <w:sz w:val="22"/>
          <w:szCs w:val="22"/>
        </w:rPr>
        <w:lastRenderedPageBreak/>
        <w:t>13.2</w:t>
      </w:r>
      <w:r>
        <w:rPr>
          <w:rFonts w:ascii="Times New Roman" w:hAnsi="Times New Roman"/>
          <w:sz w:val="22"/>
          <w:szCs w:val="22"/>
        </w:rPr>
        <w:tab/>
        <w:t>[</w:t>
      </w:r>
      <w:r>
        <w:rPr>
          <w:rFonts w:ascii="Times New Roman" w:hAnsi="Times New Roman"/>
          <w:sz w:val="22"/>
          <w:szCs w:val="22"/>
          <w:highlight w:val="yellow"/>
        </w:rPr>
        <w:t>Si nécessaire</w:t>
      </w:r>
      <w:r>
        <w:rPr>
          <w:rFonts w:ascii="Times New Roman" w:hAnsi="Times New Roman"/>
          <w:sz w:val="22"/>
          <w:szCs w:val="22"/>
        </w:rPr>
        <w:t xml:space="preserve"> &lt;</w:t>
      </w:r>
      <w:r>
        <w:rPr>
          <w:rFonts w:ascii="Times New Roman" w:hAnsi="Times New Roman"/>
          <w:sz w:val="22"/>
          <w:szCs w:val="22"/>
          <w:highlight w:val="yellow"/>
        </w:rPr>
        <w:t>indiquer le calendrier de soumission et d’approbation du programme de mise en œuvre des tâches, en précisant les dates et les délais</w:t>
      </w:r>
      <w:r>
        <w:rPr>
          <w:rFonts w:ascii="Times New Roman" w:hAnsi="Times New Roman"/>
          <w:sz w:val="22"/>
          <w:szCs w:val="22"/>
        </w:rPr>
        <w:t>&gt;]</w:t>
      </w:r>
    </w:p>
    <w:p w14:paraId="1A770128" w14:textId="77777777" w:rsidR="0047783A" w:rsidRPr="003D6B6C" w:rsidRDefault="0047783A" w:rsidP="00B34179">
      <w:pPr>
        <w:spacing w:before="240"/>
        <w:ind w:left="1134" w:hanging="1134"/>
        <w:jc w:val="both"/>
        <w:rPr>
          <w:rFonts w:ascii="Times New Roman" w:hAnsi="Times New Roman"/>
          <w:b/>
          <w:sz w:val="24"/>
          <w:szCs w:val="24"/>
        </w:rPr>
      </w:pPr>
      <w:bookmarkStart w:id="10" w:name="_Toc124934904"/>
      <w:r>
        <w:rPr>
          <w:rFonts w:ascii="Times New Roman" w:hAnsi="Times New Roman"/>
          <w:b/>
          <w:sz w:val="24"/>
          <w:szCs w:val="24"/>
        </w:rPr>
        <w:t>Article 14</w:t>
      </w:r>
      <w:r>
        <w:rPr>
          <w:rFonts w:ascii="Times New Roman" w:hAnsi="Times New Roman"/>
          <w:b/>
          <w:sz w:val="24"/>
          <w:szCs w:val="24"/>
        </w:rPr>
        <w:tab/>
        <w:t>Plans du titulaire</w:t>
      </w:r>
      <w:bookmarkEnd w:id="10"/>
    </w:p>
    <w:p w14:paraId="62741992" w14:textId="77777777" w:rsidR="0047783A" w:rsidRPr="003D6B6C" w:rsidRDefault="005B0129" w:rsidP="005D03AA">
      <w:pPr>
        <w:ind w:left="1134" w:hanging="709"/>
        <w:jc w:val="both"/>
        <w:rPr>
          <w:rFonts w:ascii="Times New Roman" w:hAnsi="Times New Roman"/>
          <w:sz w:val="22"/>
          <w:szCs w:val="22"/>
        </w:rPr>
      </w:pPr>
      <w:r>
        <w:rPr>
          <w:rFonts w:ascii="Times New Roman" w:hAnsi="Times New Roman"/>
          <w:sz w:val="22"/>
          <w:szCs w:val="22"/>
        </w:rPr>
        <w:t>14.1</w:t>
      </w:r>
      <w:r>
        <w:rPr>
          <w:rFonts w:ascii="Times New Roman" w:hAnsi="Times New Roman"/>
          <w:sz w:val="22"/>
          <w:szCs w:val="22"/>
        </w:rPr>
        <w:tab/>
        <w:t>&lt;</w:t>
      </w:r>
      <w:r>
        <w:rPr>
          <w:rFonts w:ascii="Times New Roman" w:hAnsi="Times New Roman"/>
          <w:sz w:val="22"/>
          <w:szCs w:val="22"/>
          <w:highlight w:val="yellow"/>
        </w:rPr>
        <w:t>Indiquer les plans et/ou échantillons devant être fournis par le contractant, leurs procédures d’approbation et les exigences relatives aux manuels</w:t>
      </w:r>
      <w:r>
        <w:rPr>
          <w:rFonts w:ascii="Times New Roman" w:hAnsi="Times New Roman"/>
          <w:sz w:val="22"/>
          <w:szCs w:val="22"/>
        </w:rPr>
        <w:t>&gt;</w:t>
      </w:r>
    </w:p>
    <w:p w14:paraId="1B05DF2B" w14:textId="77777777" w:rsidR="0047783A" w:rsidRPr="003D6B6C" w:rsidRDefault="0047783A" w:rsidP="00B34179">
      <w:pPr>
        <w:spacing w:before="240"/>
        <w:ind w:left="1134" w:hanging="1134"/>
        <w:jc w:val="both"/>
        <w:rPr>
          <w:rFonts w:ascii="Times New Roman" w:hAnsi="Times New Roman"/>
          <w:b/>
          <w:sz w:val="24"/>
          <w:szCs w:val="24"/>
        </w:rPr>
      </w:pPr>
      <w:bookmarkStart w:id="11" w:name="_Toc124934905"/>
      <w:r>
        <w:rPr>
          <w:rFonts w:ascii="Times New Roman" w:hAnsi="Times New Roman"/>
          <w:b/>
          <w:sz w:val="24"/>
          <w:szCs w:val="24"/>
        </w:rPr>
        <w:t>Article 15</w:t>
      </w:r>
      <w:r>
        <w:rPr>
          <w:rFonts w:ascii="Times New Roman" w:hAnsi="Times New Roman"/>
          <w:b/>
          <w:sz w:val="24"/>
          <w:szCs w:val="24"/>
        </w:rPr>
        <w:tab/>
        <w:t>Niveau suffisant du montant de l’offre</w:t>
      </w:r>
      <w:bookmarkEnd w:id="11"/>
      <w:r>
        <w:rPr>
          <w:rFonts w:ascii="Times New Roman" w:hAnsi="Times New Roman"/>
          <w:b/>
          <w:sz w:val="24"/>
          <w:szCs w:val="24"/>
        </w:rPr>
        <w:tab/>
      </w:r>
    </w:p>
    <w:p w14:paraId="4B4F2207" w14:textId="77777777" w:rsidR="0047783A" w:rsidRPr="003D6B6C" w:rsidRDefault="005B0129" w:rsidP="005D03AA">
      <w:pPr>
        <w:ind w:left="1134" w:hanging="709"/>
        <w:jc w:val="both"/>
        <w:rPr>
          <w:rFonts w:ascii="Times New Roman" w:hAnsi="Times New Roman"/>
          <w:sz w:val="22"/>
          <w:szCs w:val="22"/>
        </w:rPr>
      </w:pPr>
      <w:r>
        <w:rPr>
          <w:rFonts w:ascii="Times New Roman" w:hAnsi="Times New Roman"/>
          <w:sz w:val="22"/>
          <w:szCs w:val="22"/>
        </w:rPr>
        <w:t>15.1</w:t>
      </w:r>
      <w:r>
        <w:rPr>
          <w:rFonts w:ascii="Times New Roman" w:hAnsi="Times New Roman"/>
          <w:sz w:val="22"/>
          <w:szCs w:val="22"/>
        </w:rPr>
        <w:tab/>
        <w:t>&lt;</w:t>
      </w:r>
      <w:r>
        <w:rPr>
          <w:rFonts w:ascii="Times New Roman" w:hAnsi="Times New Roman"/>
          <w:sz w:val="22"/>
          <w:szCs w:val="22"/>
          <w:highlight w:val="yellow"/>
        </w:rPr>
        <w:t>Préciser les dispositions complémentaires concernant l’article 15 des conditions générales</w:t>
      </w:r>
      <w:r>
        <w:rPr>
          <w:rFonts w:ascii="Times New Roman" w:hAnsi="Times New Roman"/>
          <w:sz w:val="22"/>
          <w:szCs w:val="22"/>
        </w:rPr>
        <w:t>&gt;</w:t>
      </w:r>
    </w:p>
    <w:p w14:paraId="35D9433B" w14:textId="77777777" w:rsidR="00C52305" w:rsidRPr="003D6B6C" w:rsidRDefault="00C52305" w:rsidP="00C52305">
      <w:pPr>
        <w:spacing w:before="240"/>
        <w:ind w:left="1134" w:hanging="1134"/>
        <w:jc w:val="both"/>
        <w:rPr>
          <w:rFonts w:ascii="Times New Roman" w:hAnsi="Times New Roman"/>
          <w:b/>
          <w:sz w:val="24"/>
          <w:szCs w:val="24"/>
        </w:rPr>
      </w:pPr>
      <w:r>
        <w:rPr>
          <w:rFonts w:ascii="Times New Roman" w:hAnsi="Times New Roman"/>
          <w:b/>
          <w:sz w:val="24"/>
          <w:szCs w:val="24"/>
        </w:rPr>
        <w:t>Article 16</w:t>
      </w:r>
      <w:r>
        <w:rPr>
          <w:rFonts w:ascii="Times New Roman" w:hAnsi="Times New Roman"/>
          <w:b/>
          <w:sz w:val="24"/>
          <w:szCs w:val="24"/>
        </w:rPr>
        <w:tab/>
        <w:t>Régime fiscal et douanier</w:t>
      </w:r>
    </w:p>
    <w:p w14:paraId="6AF4FC5B" w14:textId="77777777" w:rsidR="00C52305" w:rsidRPr="003D6B6C" w:rsidRDefault="00C52305" w:rsidP="00C52305">
      <w:pPr>
        <w:ind w:left="1134" w:hanging="709"/>
        <w:jc w:val="both"/>
        <w:rPr>
          <w:rFonts w:ascii="Times New Roman" w:hAnsi="Times New Roman"/>
          <w:sz w:val="22"/>
          <w:szCs w:val="22"/>
        </w:rPr>
      </w:pPr>
      <w:r>
        <w:rPr>
          <w:rFonts w:ascii="Times New Roman" w:hAnsi="Times New Roman"/>
          <w:sz w:val="22"/>
          <w:szCs w:val="22"/>
        </w:rPr>
        <w:t>16.1</w:t>
      </w:r>
      <w:r>
        <w:rPr>
          <w:rFonts w:ascii="Times New Roman" w:hAnsi="Times New Roman"/>
          <w:sz w:val="22"/>
          <w:szCs w:val="22"/>
        </w:rPr>
        <w:tab/>
      </w:r>
      <w:r>
        <w:rPr>
          <w:rFonts w:ascii="Times New Roman" w:hAnsi="Times New Roman"/>
          <w:sz w:val="22"/>
          <w:szCs w:val="22"/>
          <w:highlight w:val="yellow"/>
        </w:rPr>
        <w:t xml:space="preserve">&lt;Préciser si les conditions de livraison sont DAP au lieu de DDP comme indiqué dans les conditions générales&gt; </w:t>
      </w:r>
    </w:p>
    <w:p w14:paraId="53822BAA" w14:textId="77777777" w:rsidR="0047783A" w:rsidRPr="003D6B6C" w:rsidRDefault="0047783A" w:rsidP="00B34179">
      <w:pPr>
        <w:spacing w:before="240"/>
        <w:ind w:left="1134" w:hanging="1134"/>
        <w:jc w:val="both"/>
        <w:rPr>
          <w:rFonts w:ascii="Times New Roman" w:hAnsi="Times New Roman"/>
          <w:b/>
          <w:sz w:val="24"/>
          <w:szCs w:val="24"/>
        </w:rPr>
      </w:pPr>
      <w:bookmarkStart w:id="12" w:name="_Toc124934906"/>
      <w:r>
        <w:rPr>
          <w:rFonts w:ascii="Times New Roman" w:hAnsi="Times New Roman"/>
          <w:b/>
          <w:sz w:val="24"/>
          <w:szCs w:val="24"/>
        </w:rPr>
        <w:t>Article 17</w:t>
      </w:r>
      <w:r>
        <w:rPr>
          <w:rFonts w:ascii="Times New Roman" w:hAnsi="Times New Roman"/>
          <w:b/>
          <w:sz w:val="24"/>
          <w:szCs w:val="24"/>
        </w:rPr>
        <w:tab/>
        <w:t>Brevets et licences</w:t>
      </w:r>
      <w:bookmarkEnd w:id="12"/>
    </w:p>
    <w:p w14:paraId="43D1F54B" w14:textId="77777777" w:rsidR="0047783A" w:rsidRPr="003D6B6C" w:rsidRDefault="005B0129" w:rsidP="005D03AA">
      <w:pPr>
        <w:ind w:left="1134" w:hanging="709"/>
        <w:jc w:val="both"/>
        <w:rPr>
          <w:rFonts w:ascii="Times New Roman" w:hAnsi="Times New Roman"/>
          <w:sz w:val="22"/>
          <w:szCs w:val="22"/>
        </w:rPr>
      </w:pPr>
      <w:r>
        <w:rPr>
          <w:rFonts w:ascii="Times New Roman" w:hAnsi="Times New Roman"/>
          <w:sz w:val="22"/>
          <w:szCs w:val="22"/>
        </w:rPr>
        <w:t>17.1</w:t>
      </w:r>
      <w:r>
        <w:rPr>
          <w:rFonts w:ascii="Times New Roman" w:hAnsi="Times New Roman"/>
          <w:sz w:val="22"/>
          <w:szCs w:val="22"/>
        </w:rPr>
        <w:tab/>
        <w:t>&lt;</w:t>
      </w:r>
      <w:r>
        <w:rPr>
          <w:rFonts w:ascii="Times New Roman" w:hAnsi="Times New Roman"/>
          <w:sz w:val="22"/>
          <w:szCs w:val="22"/>
          <w:highlight w:val="yellow"/>
        </w:rPr>
        <w:t>Préciser s’il y a une dérogation à l’article 17 des conditions générales</w:t>
      </w:r>
      <w:r>
        <w:rPr>
          <w:rFonts w:ascii="Times New Roman" w:hAnsi="Times New Roman"/>
          <w:sz w:val="22"/>
          <w:szCs w:val="22"/>
        </w:rPr>
        <w:t>&gt;</w:t>
      </w:r>
    </w:p>
    <w:p w14:paraId="68BC2499" w14:textId="77777777" w:rsidR="00EB32E9" w:rsidRPr="003D6B6C" w:rsidRDefault="0047783A" w:rsidP="00B34179">
      <w:pPr>
        <w:spacing w:before="240"/>
        <w:ind w:left="1134" w:hanging="1134"/>
        <w:jc w:val="both"/>
        <w:rPr>
          <w:rFonts w:ascii="Times New Roman" w:hAnsi="Times New Roman"/>
          <w:b/>
          <w:sz w:val="24"/>
          <w:szCs w:val="24"/>
        </w:rPr>
      </w:pPr>
      <w:bookmarkStart w:id="13" w:name="_Toc124934907"/>
      <w:r>
        <w:rPr>
          <w:rFonts w:ascii="Times New Roman" w:hAnsi="Times New Roman"/>
          <w:b/>
          <w:sz w:val="24"/>
          <w:szCs w:val="24"/>
        </w:rPr>
        <w:t>Article 18</w:t>
      </w:r>
      <w:r>
        <w:rPr>
          <w:rFonts w:ascii="Times New Roman" w:hAnsi="Times New Roman"/>
          <w:b/>
          <w:sz w:val="24"/>
          <w:szCs w:val="24"/>
        </w:rPr>
        <w:tab/>
        <w:t>Ordre de commencer la mise en œuvre des tâches</w:t>
      </w:r>
      <w:bookmarkEnd w:id="13"/>
      <w:r>
        <w:rPr>
          <w:rFonts w:ascii="Times New Roman" w:hAnsi="Times New Roman"/>
          <w:b/>
          <w:sz w:val="24"/>
          <w:szCs w:val="24"/>
        </w:rPr>
        <w:t xml:space="preserve"> </w:t>
      </w:r>
    </w:p>
    <w:p w14:paraId="14D4E012" w14:textId="77777777" w:rsidR="0047783A" w:rsidRPr="003D6B6C" w:rsidRDefault="0047783A" w:rsidP="005D03AA">
      <w:pPr>
        <w:ind w:left="1134" w:hanging="709"/>
        <w:jc w:val="both"/>
        <w:rPr>
          <w:rFonts w:ascii="Times New Roman" w:hAnsi="Times New Roman"/>
          <w:sz w:val="22"/>
          <w:szCs w:val="22"/>
        </w:rPr>
      </w:pPr>
      <w:r>
        <w:rPr>
          <w:rFonts w:ascii="Times New Roman" w:hAnsi="Times New Roman"/>
          <w:sz w:val="22"/>
          <w:szCs w:val="22"/>
        </w:rPr>
        <w:t>18.1</w:t>
      </w:r>
      <w:r>
        <w:rPr>
          <w:rFonts w:ascii="Times New Roman" w:hAnsi="Times New Roman"/>
          <w:b/>
          <w:sz w:val="22"/>
          <w:szCs w:val="22"/>
        </w:rPr>
        <w:tab/>
      </w:r>
      <w:r>
        <w:rPr>
          <w:rFonts w:ascii="Times New Roman" w:hAnsi="Times New Roman"/>
          <w:sz w:val="22"/>
          <w:szCs w:val="22"/>
        </w:rPr>
        <w:t>[&lt;</w:t>
      </w:r>
      <w:r>
        <w:rPr>
          <w:rFonts w:ascii="Times New Roman" w:hAnsi="Times New Roman"/>
          <w:sz w:val="22"/>
          <w:szCs w:val="22"/>
          <w:highlight w:val="yellow"/>
        </w:rPr>
        <w:t>Indiquer la date à laquelle la mise en œuvre des tâches doit commencer</w:t>
      </w:r>
      <w:r>
        <w:rPr>
          <w:rFonts w:ascii="Times New Roman" w:hAnsi="Times New Roman"/>
          <w:sz w:val="22"/>
          <w:szCs w:val="22"/>
        </w:rPr>
        <w:t>&gt;]</w:t>
      </w:r>
    </w:p>
    <w:p w14:paraId="45A4C7E3" w14:textId="77777777" w:rsidR="00EB32E9" w:rsidRPr="003D6B6C" w:rsidRDefault="00EB32E9" w:rsidP="005D03AA">
      <w:pPr>
        <w:ind w:left="1134"/>
        <w:jc w:val="both"/>
        <w:rPr>
          <w:rFonts w:ascii="Times New Roman" w:hAnsi="Times New Roman"/>
          <w:sz w:val="22"/>
          <w:szCs w:val="22"/>
        </w:rPr>
      </w:pPr>
      <w:r>
        <w:rPr>
          <w:rFonts w:ascii="Times New Roman" w:hAnsi="Times New Roman"/>
          <w:sz w:val="22"/>
          <w:szCs w:val="22"/>
          <w:highlight w:val="yellow"/>
        </w:rPr>
        <w:t>Ou</w:t>
      </w:r>
      <w:r>
        <w:rPr>
          <w:rFonts w:ascii="Times New Roman" w:hAnsi="Times New Roman"/>
          <w:sz w:val="22"/>
          <w:szCs w:val="22"/>
        </w:rPr>
        <w:t xml:space="preserve"> </w:t>
      </w:r>
    </w:p>
    <w:p w14:paraId="5D9535E4" w14:textId="77777777" w:rsidR="00EB32E9" w:rsidRPr="003D6B6C" w:rsidRDefault="00EB32E9" w:rsidP="005D03AA">
      <w:pPr>
        <w:ind w:left="1134" w:hanging="709"/>
        <w:jc w:val="both"/>
        <w:rPr>
          <w:rFonts w:ascii="Times New Roman" w:hAnsi="Times New Roman"/>
          <w:sz w:val="22"/>
          <w:szCs w:val="22"/>
        </w:rPr>
      </w:pPr>
      <w:r>
        <w:rPr>
          <w:rFonts w:ascii="Times New Roman" w:hAnsi="Times New Roman"/>
          <w:sz w:val="22"/>
          <w:szCs w:val="22"/>
        </w:rPr>
        <w:t>18.1</w:t>
      </w:r>
      <w:r>
        <w:rPr>
          <w:rFonts w:ascii="Times New Roman" w:hAnsi="Times New Roman"/>
          <w:sz w:val="22"/>
          <w:szCs w:val="22"/>
        </w:rPr>
        <w:tab/>
        <w:t>[</w:t>
      </w:r>
      <w:r>
        <w:rPr>
          <w:rFonts w:ascii="Times New Roman" w:hAnsi="Times New Roman"/>
          <w:sz w:val="22"/>
          <w:szCs w:val="22"/>
          <w:highlight w:val="lightGray"/>
        </w:rPr>
        <w:t>Le pouvoir adjudicateur informera le contractant par ordre administratif de la date de mise en œuvre des tâches.</w:t>
      </w:r>
      <w:r>
        <w:rPr>
          <w:rFonts w:ascii="Times New Roman" w:hAnsi="Times New Roman"/>
          <w:sz w:val="22"/>
          <w:szCs w:val="22"/>
        </w:rPr>
        <w:t>]</w:t>
      </w:r>
    </w:p>
    <w:p w14:paraId="40415148" w14:textId="77777777" w:rsidR="0047783A" w:rsidRPr="003D6B6C" w:rsidRDefault="0047783A" w:rsidP="00B34179">
      <w:pPr>
        <w:spacing w:before="240"/>
        <w:ind w:left="1134" w:hanging="1134"/>
        <w:jc w:val="both"/>
        <w:rPr>
          <w:rFonts w:ascii="Times New Roman" w:hAnsi="Times New Roman"/>
          <w:b/>
          <w:sz w:val="24"/>
          <w:szCs w:val="24"/>
        </w:rPr>
      </w:pPr>
      <w:r>
        <w:rPr>
          <w:rFonts w:ascii="Times New Roman" w:hAnsi="Times New Roman"/>
          <w:b/>
          <w:sz w:val="24"/>
          <w:szCs w:val="24"/>
        </w:rPr>
        <w:t>Article 19</w:t>
      </w:r>
      <w:r>
        <w:rPr>
          <w:rFonts w:ascii="Times New Roman" w:hAnsi="Times New Roman"/>
          <w:b/>
          <w:sz w:val="24"/>
          <w:szCs w:val="24"/>
        </w:rPr>
        <w:tab/>
      </w:r>
      <w:bookmarkStart w:id="14" w:name="_Toc124934908"/>
      <w:r>
        <w:rPr>
          <w:rFonts w:ascii="Times New Roman" w:hAnsi="Times New Roman"/>
          <w:b/>
          <w:sz w:val="24"/>
          <w:szCs w:val="24"/>
        </w:rPr>
        <w:t>Période de mise en œuvre</w:t>
      </w:r>
      <w:bookmarkEnd w:id="14"/>
      <w:r>
        <w:rPr>
          <w:rFonts w:ascii="Times New Roman" w:hAnsi="Times New Roman"/>
          <w:b/>
          <w:sz w:val="24"/>
          <w:szCs w:val="24"/>
        </w:rPr>
        <w:t xml:space="preserve"> des tâches</w:t>
      </w:r>
    </w:p>
    <w:p w14:paraId="24D80EC0" w14:textId="77777777" w:rsidR="0047783A" w:rsidRPr="003D6B6C" w:rsidRDefault="0047783A" w:rsidP="005D03AA">
      <w:pPr>
        <w:ind w:left="1134" w:hanging="709"/>
        <w:jc w:val="both"/>
        <w:rPr>
          <w:rFonts w:ascii="Times New Roman" w:hAnsi="Times New Roman"/>
          <w:b/>
          <w:sz w:val="22"/>
          <w:szCs w:val="22"/>
        </w:rPr>
      </w:pPr>
      <w:r>
        <w:rPr>
          <w:rFonts w:ascii="Times New Roman" w:hAnsi="Times New Roman"/>
          <w:sz w:val="22"/>
          <w:szCs w:val="22"/>
        </w:rPr>
        <w:t>19.1</w:t>
      </w:r>
      <w:r>
        <w:rPr>
          <w:rFonts w:ascii="Times New Roman" w:hAnsi="Times New Roman"/>
          <w:b/>
          <w:sz w:val="22"/>
          <w:szCs w:val="22"/>
        </w:rPr>
        <w:tab/>
      </w:r>
      <w:r>
        <w:rPr>
          <w:rFonts w:ascii="Times New Roman" w:hAnsi="Times New Roman"/>
          <w:sz w:val="22"/>
          <w:szCs w:val="22"/>
        </w:rPr>
        <w:t>&lt;</w:t>
      </w:r>
      <w:r>
        <w:rPr>
          <w:rFonts w:ascii="Times New Roman" w:hAnsi="Times New Roman"/>
          <w:sz w:val="22"/>
          <w:szCs w:val="22"/>
          <w:highlight w:val="yellow"/>
        </w:rPr>
        <w:t>Indiquer la/les période(s) de mise en œuvre des tâches en jours calendaires par rapport à la date stipulée à l’article précédent</w:t>
      </w:r>
      <w:r>
        <w:rPr>
          <w:rFonts w:ascii="Times New Roman" w:hAnsi="Times New Roman"/>
          <w:sz w:val="22"/>
          <w:szCs w:val="22"/>
        </w:rPr>
        <w:t>&gt;</w:t>
      </w:r>
    </w:p>
    <w:p w14:paraId="0FBA9C31" w14:textId="77777777" w:rsidR="0047783A" w:rsidRPr="003D6B6C" w:rsidRDefault="0047783A" w:rsidP="00B34179">
      <w:pPr>
        <w:spacing w:before="240"/>
        <w:ind w:left="1134" w:hanging="1134"/>
        <w:jc w:val="both"/>
        <w:rPr>
          <w:rFonts w:ascii="Times New Roman" w:hAnsi="Times New Roman"/>
          <w:b/>
          <w:sz w:val="24"/>
          <w:szCs w:val="24"/>
        </w:rPr>
      </w:pPr>
      <w:bookmarkStart w:id="15" w:name="_Toc124934910"/>
      <w:r>
        <w:rPr>
          <w:rFonts w:ascii="Times New Roman" w:hAnsi="Times New Roman"/>
          <w:b/>
          <w:sz w:val="24"/>
          <w:szCs w:val="24"/>
        </w:rPr>
        <w:t>Article 24</w:t>
      </w:r>
      <w:r>
        <w:rPr>
          <w:rFonts w:ascii="Times New Roman" w:hAnsi="Times New Roman"/>
          <w:b/>
          <w:sz w:val="24"/>
          <w:szCs w:val="24"/>
        </w:rPr>
        <w:tab/>
        <w:t>Qualité des fournitures</w:t>
      </w:r>
      <w:bookmarkEnd w:id="15"/>
    </w:p>
    <w:p w14:paraId="0506BF5F" w14:textId="77777777" w:rsidR="0047783A" w:rsidRPr="003D6B6C" w:rsidRDefault="005B0129" w:rsidP="005D03AA">
      <w:pPr>
        <w:ind w:left="1134" w:hanging="709"/>
        <w:jc w:val="both"/>
        <w:rPr>
          <w:rFonts w:ascii="Times New Roman" w:hAnsi="Times New Roman"/>
          <w:sz w:val="22"/>
          <w:szCs w:val="22"/>
        </w:rPr>
      </w:pPr>
      <w:r>
        <w:rPr>
          <w:rFonts w:ascii="Times New Roman" w:hAnsi="Times New Roman"/>
          <w:sz w:val="22"/>
          <w:szCs w:val="22"/>
        </w:rPr>
        <w:t>24.2</w:t>
      </w:r>
      <w:r>
        <w:rPr>
          <w:rFonts w:ascii="Times New Roman" w:hAnsi="Times New Roman"/>
          <w:sz w:val="22"/>
          <w:szCs w:val="22"/>
        </w:rPr>
        <w:tab/>
        <w:t>&lt;</w:t>
      </w:r>
      <w:r>
        <w:rPr>
          <w:rFonts w:ascii="Times New Roman" w:hAnsi="Times New Roman"/>
          <w:sz w:val="22"/>
          <w:szCs w:val="22"/>
          <w:highlight w:val="yellow"/>
        </w:rPr>
        <w:t>Indiquer ici si une réception technique préliminaire est requise</w:t>
      </w:r>
      <w:r>
        <w:rPr>
          <w:rFonts w:ascii="Times New Roman" w:hAnsi="Times New Roman"/>
          <w:sz w:val="22"/>
          <w:szCs w:val="22"/>
        </w:rPr>
        <w:t>&gt;</w:t>
      </w:r>
    </w:p>
    <w:p w14:paraId="6EE8627F" w14:textId="77777777" w:rsidR="0047783A" w:rsidRPr="003D6B6C" w:rsidRDefault="0047783A" w:rsidP="00B34179">
      <w:pPr>
        <w:spacing w:before="240"/>
        <w:ind w:left="1134" w:hanging="1134"/>
        <w:jc w:val="both"/>
        <w:rPr>
          <w:rFonts w:ascii="Times New Roman" w:hAnsi="Times New Roman"/>
          <w:b/>
          <w:sz w:val="24"/>
          <w:szCs w:val="24"/>
        </w:rPr>
      </w:pPr>
      <w:bookmarkStart w:id="16" w:name="_Toc124934911"/>
      <w:r>
        <w:rPr>
          <w:rFonts w:ascii="Times New Roman" w:hAnsi="Times New Roman"/>
          <w:b/>
          <w:sz w:val="24"/>
          <w:szCs w:val="24"/>
        </w:rPr>
        <w:t>Article 25</w:t>
      </w:r>
      <w:r>
        <w:rPr>
          <w:rFonts w:ascii="Times New Roman" w:hAnsi="Times New Roman"/>
          <w:b/>
          <w:sz w:val="24"/>
          <w:szCs w:val="24"/>
        </w:rPr>
        <w:tab/>
        <w:t>Inspection et test</w:t>
      </w:r>
      <w:bookmarkEnd w:id="16"/>
    </w:p>
    <w:p w14:paraId="64178ACF" w14:textId="77777777" w:rsidR="0047783A" w:rsidRPr="003D6B6C" w:rsidRDefault="005B0129" w:rsidP="005D03AA">
      <w:pPr>
        <w:ind w:left="1134" w:hanging="709"/>
        <w:jc w:val="both"/>
        <w:rPr>
          <w:rFonts w:ascii="Times New Roman" w:hAnsi="Times New Roman"/>
          <w:b/>
          <w:sz w:val="22"/>
          <w:szCs w:val="22"/>
        </w:rPr>
      </w:pPr>
      <w:r>
        <w:rPr>
          <w:rFonts w:ascii="Times New Roman" w:hAnsi="Times New Roman"/>
          <w:bCs/>
          <w:sz w:val="22"/>
          <w:szCs w:val="22"/>
        </w:rPr>
        <w:t>25.2</w:t>
      </w:r>
      <w:r>
        <w:rPr>
          <w:rFonts w:ascii="Times New Roman" w:hAnsi="Times New Roman"/>
          <w:bCs/>
          <w:sz w:val="22"/>
          <w:szCs w:val="22"/>
        </w:rPr>
        <w:tab/>
      </w:r>
      <w:r>
        <w:rPr>
          <w:rFonts w:ascii="Times New Roman" w:hAnsi="Times New Roman"/>
          <w:sz w:val="22"/>
          <w:szCs w:val="22"/>
        </w:rPr>
        <w:t>&lt;</w:t>
      </w:r>
      <w:r>
        <w:rPr>
          <w:rFonts w:ascii="Times New Roman" w:hAnsi="Times New Roman"/>
          <w:sz w:val="22"/>
          <w:szCs w:val="22"/>
          <w:highlight w:val="yellow"/>
        </w:rPr>
        <w:t>Préciser les lieux/biens à inspecter et à tester conformément à l’article 25 des conditions générales et les modalités pratiques des tests</w:t>
      </w:r>
      <w:r>
        <w:rPr>
          <w:rFonts w:ascii="Times New Roman" w:hAnsi="Times New Roman"/>
          <w:sz w:val="22"/>
          <w:szCs w:val="22"/>
        </w:rPr>
        <w:t>&gt;</w:t>
      </w:r>
    </w:p>
    <w:p w14:paraId="76351DF5" w14:textId="77777777" w:rsidR="0047783A" w:rsidRPr="003D6B6C" w:rsidRDefault="0047783A" w:rsidP="00B34179">
      <w:pPr>
        <w:spacing w:before="240"/>
        <w:ind w:left="1134" w:hanging="1134"/>
        <w:jc w:val="both"/>
        <w:rPr>
          <w:rFonts w:ascii="Times New Roman" w:hAnsi="Times New Roman"/>
          <w:b/>
          <w:sz w:val="24"/>
          <w:szCs w:val="24"/>
        </w:rPr>
      </w:pPr>
      <w:bookmarkStart w:id="17" w:name="_Toc124934912"/>
      <w:r>
        <w:rPr>
          <w:rFonts w:ascii="Times New Roman" w:hAnsi="Times New Roman"/>
          <w:b/>
          <w:sz w:val="24"/>
          <w:szCs w:val="24"/>
        </w:rPr>
        <w:t>Article 26</w:t>
      </w:r>
      <w:r>
        <w:rPr>
          <w:rFonts w:ascii="Times New Roman" w:hAnsi="Times New Roman"/>
          <w:b/>
          <w:sz w:val="24"/>
          <w:szCs w:val="24"/>
        </w:rPr>
        <w:tab/>
      </w:r>
      <w:bookmarkEnd w:id="17"/>
      <w:r>
        <w:rPr>
          <w:rFonts w:ascii="Times New Roman" w:hAnsi="Times New Roman"/>
          <w:b/>
          <w:sz w:val="24"/>
          <w:szCs w:val="24"/>
        </w:rPr>
        <w:t>Principes généraux des paiements</w:t>
      </w:r>
    </w:p>
    <w:p w14:paraId="6ECB3C62" w14:textId="77777777" w:rsidR="0047783A" w:rsidRPr="003D6B6C" w:rsidRDefault="0047783A" w:rsidP="005D03AA">
      <w:pPr>
        <w:tabs>
          <w:tab w:val="right" w:pos="9885"/>
        </w:tabs>
        <w:ind w:left="1134" w:hanging="709"/>
        <w:jc w:val="both"/>
        <w:rPr>
          <w:rFonts w:ascii="Times New Roman" w:hAnsi="Times New Roman"/>
          <w:sz w:val="22"/>
          <w:szCs w:val="22"/>
        </w:rPr>
      </w:pPr>
      <w:r>
        <w:rPr>
          <w:rFonts w:ascii="Times New Roman" w:hAnsi="Times New Roman"/>
          <w:sz w:val="22"/>
          <w:szCs w:val="22"/>
        </w:rPr>
        <w:t>26.1</w:t>
      </w:r>
      <w:r>
        <w:rPr>
          <w:rFonts w:ascii="Times New Roman" w:hAnsi="Times New Roman"/>
          <w:sz w:val="22"/>
          <w:szCs w:val="22"/>
        </w:rPr>
        <w:tab/>
        <w:t>Les paiements sont effectués en [</w:t>
      </w:r>
      <w:r>
        <w:rPr>
          <w:rFonts w:ascii="Times New Roman" w:hAnsi="Times New Roman"/>
          <w:sz w:val="22"/>
          <w:szCs w:val="22"/>
          <w:highlight w:val="lightGray"/>
        </w:rPr>
        <w:t>EUR</w:t>
      </w:r>
      <w:r>
        <w:rPr>
          <w:rFonts w:ascii="Times New Roman" w:hAnsi="Times New Roman"/>
          <w:sz w:val="22"/>
          <w:szCs w:val="22"/>
        </w:rPr>
        <w:t xml:space="preserve">] </w:t>
      </w:r>
      <w:r>
        <w:rPr>
          <w:rFonts w:ascii="Times New Roman" w:hAnsi="Times New Roman"/>
          <w:sz w:val="22"/>
          <w:szCs w:val="22"/>
          <w:highlight w:val="lightGray"/>
        </w:rPr>
        <w:t>[&lt;code ISO de la monnaie nationale&gt;</w:t>
      </w:r>
      <w:r>
        <w:rPr>
          <w:rFonts w:ascii="Times New Roman" w:hAnsi="Times New Roman"/>
          <w:sz w:val="22"/>
          <w:szCs w:val="22"/>
        </w:rPr>
        <w:t>, uniquement en gestion indirecte dans les cas suivants:</w:t>
      </w:r>
      <w:r>
        <w:rPr>
          <w:rFonts w:ascii="Times New Roman" w:hAnsi="Times New Roman"/>
          <w:sz w:val="22"/>
          <w:szCs w:val="22"/>
          <w:highlight w:val="yellow"/>
        </w:rPr>
        <w:t xml:space="preserve"> i) lorsque des impératifs juridiques ou locaux imposent à titre exceptionnel d’utiliser la monnaie nationale; ii) en cas de besoin, pour des marchés relevant de la partie régie d’avance d’un devis-programme].</w:t>
      </w:r>
    </w:p>
    <w:p w14:paraId="05D86986" w14:textId="3B69E632" w:rsidR="0047783A" w:rsidRPr="003D6B6C" w:rsidRDefault="0047783A" w:rsidP="005D03AA">
      <w:pPr>
        <w:tabs>
          <w:tab w:val="right" w:pos="9885"/>
        </w:tabs>
        <w:ind w:left="1134"/>
        <w:jc w:val="both"/>
        <w:rPr>
          <w:rFonts w:ascii="Times New Roman" w:hAnsi="Times New Roman"/>
          <w:sz w:val="22"/>
          <w:szCs w:val="22"/>
        </w:rPr>
      </w:pPr>
      <w:r>
        <w:rPr>
          <w:rFonts w:ascii="Times New Roman" w:hAnsi="Times New Roman"/>
          <w:sz w:val="22"/>
          <w:szCs w:val="22"/>
        </w:rPr>
        <w:lastRenderedPageBreak/>
        <w:t>&lt;</w:t>
      </w:r>
      <w:r>
        <w:rPr>
          <w:rFonts w:ascii="Times New Roman" w:hAnsi="Times New Roman"/>
          <w:sz w:val="22"/>
          <w:szCs w:val="22"/>
          <w:highlight w:val="yellow"/>
        </w:rPr>
        <w:t>Indiquer les conditions administratives ou techniques auxquelles sont subordonnés les versements de préfinancement et le paiement du solde</w:t>
      </w:r>
      <w:r>
        <w:rPr>
          <w:rFonts w:ascii="Times New Roman" w:hAnsi="Times New Roman"/>
          <w:sz w:val="22"/>
          <w:szCs w:val="22"/>
        </w:rPr>
        <w:t xml:space="preserve">&gt; </w:t>
      </w:r>
      <w:r>
        <w:rPr>
          <w:rFonts w:ascii="Times New Roman" w:hAnsi="Times New Roman"/>
          <w:sz w:val="22"/>
          <w:szCs w:val="22"/>
          <w:highlight w:val="lightGray"/>
        </w:rPr>
        <w:t>Le préfinancement n’est pas applicable au présent marché.</w:t>
      </w:r>
    </w:p>
    <w:p w14:paraId="5A54FF23" w14:textId="77777777" w:rsidR="0047783A" w:rsidRPr="003D6B6C" w:rsidRDefault="0047783A" w:rsidP="005D03AA">
      <w:pPr>
        <w:ind w:left="1134"/>
        <w:jc w:val="both"/>
        <w:rPr>
          <w:rFonts w:ascii="Times New Roman" w:hAnsi="Times New Roman"/>
          <w:sz w:val="22"/>
          <w:szCs w:val="22"/>
        </w:rPr>
      </w:pPr>
      <w:r>
        <w:rPr>
          <w:rFonts w:ascii="Times New Roman" w:hAnsi="Times New Roman"/>
          <w:sz w:val="22"/>
          <w:szCs w:val="22"/>
        </w:rPr>
        <w:t>Les paiements sont autorisés et effectués par &lt;</w:t>
      </w:r>
      <w:r>
        <w:rPr>
          <w:rFonts w:ascii="Times New Roman" w:hAnsi="Times New Roman"/>
          <w:sz w:val="22"/>
          <w:szCs w:val="22"/>
          <w:highlight w:val="yellow"/>
        </w:rPr>
        <w:t>préciser l’adresse de l’unité responsable et tout autre renseignement utile</w:t>
      </w:r>
      <w:r>
        <w:rPr>
          <w:rFonts w:ascii="Times New Roman" w:hAnsi="Times New Roman"/>
          <w:sz w:val="22"/>
          <w:szCs w:val="22"/>
        </w:rPr>
        <w:t>&gt;.</w:t>
      </w:r>
    </w:p>
    <w:p w14:paraId="09CCCA2B" w14:textId="77777777" w:rsidR="0047783A" w:rsidRPr="003D6B6C" w:rsidRDefault="0047783A" w:rsidP="005D03AA">
      <w:pPr>
        <w:ind w:left="113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lightGray"/>
        </w:rPr>
        <w:t>En gestion indirecte avec contrôles ex ante et lorsque les factures sont introduites auprès des autorités du pays du pouvoir adjudicateur, le contractant doit en informer la Commission européenne par l’envoi d’une copie de la correspondance à</w:t>
      </w:r>
      <w:r>
        <w:rPr>
          <w:rFonts w:ascii="Times New Roman" w:hAnsi="Times New Roman"/>
          <w:sz w:val="22"/>
          <w:szCs w:val="22"/>
        </w:rPr>
        <w:t xml:space="preserve"> &lt;</w:t>
      </w:r>
      <w:r>
        <w:rPr>
          <w:rFonts w:ascii="Times New Roman" w:hAnsi="Times New Roman"/>
          <w:sz w:val="22"/>
          <w:szCs w:val="22"/>
          <w:highlight w:val="yellow"/>
        </w:rPr>
        <w:t>indiquer l’adresse de l’unité responsable si cette option est utilisée</w:t>
      </w:r>
      <w:r>
        <w:rPr>
          <w:rFonts w:ascii="Times New Roman" w:hAnsi="Times New Roman"/>
          <w:sz w:val="22"/>
          <w:szCs w:val="22"/>
        </w:rPr>
        <w:t>&gt;</w:t>
      </w:r>
      <w:r>
        <w:rPr>
          <w:rFonts w:ascii="Times New Roman" w:hAnsi="Times New Roman"/>
          <w:sz w:val="22"/>
          <w:szCs w:val="22"/>
          <w:highlight w:val="lightGray"/>
        </w:rPr>
        <w:t>.</w:t>
      </w:r>
      <w:r>
        <w:rPr>
          <w:rFonts w:ascii="Times New Roman" w:hAnsi="Times New Roman"/>
          <w:sz w:val="22"/>
          <w:szCs w:val="22"/>
        </w:rPr>
        <w:t>]</w:t>
      </w:r>
    </w:p>
    <w:p w14:paraId="10748F0B" w14:textId="77777777" w:rsidR="00BD2F43" w:rsidRPr="003D6B6C" w:rsidRDefault="006D5CEE" w:rsidP="00833EBD">
      <w:pPr>
        <w:ind w:left="1134" w:hanging="709"/>
        <w:jc w:val="both"/>
        <w:rPr>
          <w:rFonts w:ascii="Times New Roman" w:hAnsi="Times New Roman"/>
          <w:sz w:val="22"/>
          <w:szCs w:val="22"/>
        </w:rPr>
      </w:pPr>
      <w:r>
        <w:rPr>
          <w:rFonts w:ascii="Times New Roman" w:hAnsi="Times New Roman"/>
          <w:sz w:val="22"/>
          <w:szCs w:val="22"/>
        </w:rPr>
        <w:t>26.3</w:t>
      </w:r>
      <w:r>
        <w:rPr>
          <w:rFonts w:ascii="Times New Roman" w:hAnsi="Times New Roman"/>
          <w:sz w:val="22"/>
          <w:szCs w:val="22"/>
        </w:rPr>
        <w:tab/>
        <w:t>[</w:t>
      </w:r>
      <w:r>
        <w:rPr>
          <w:rFonts w:ascii="Times New Roman" w:hAnsi="Times New Roman"/>
          <w:sz w:val="22"/>
          <w:szCs w:val="22"/>
          <w:highlight w:val="yellow"/>
        </w:rPr>
        <w:t>Marché financé par le 10</w:t>
      </w:r>
      <w:r>
        <w:rPr>
          <w:rFonts w:ascii="Times New Roman" w:hAnsi="Times New Roman"/>
          <w:sz w:val="22"/>
          <w:szCs w:val="22"/>
          <w:highlight w:val="yellow"/>
          <w:vertAlign w:val="superscript"/>
        </w:rPr>
        <w:t>e</w:t>
      </w:r>
      <w:r>
        <w:rPr>
          <w:rFonts w:ascii="Times New Roman" w:hAnsi="Times New Roman"/>
          <w:sz w:val="22"/>
          <w:szCs w:val="22"/>
          <w:highlight w:val="yellow"/>
        </w:rPr>
        <w:t> FED uniquement:</w:t>
      </w:r>
      <w:r>
        <w:rPr>
          <w:rFonts w:ascii="Times New Roman" w:hAnsi="Times New Roman"/>
          <w:sz w:val="22"/>
          <w:szCs w:val="22"/>
        </w:rPr>
        <w:t xml:space="preserve"> </w:t>
      </w:r>
      <w:r>
        <w:rPr>
          <w:rFonts w:ascii="Times New Roman" w:hAnsi="Times New Roman"/>
          <w:sz w:val="22"/>
          <w:szCs w:val="22"/>
          <w:highlight w:val="lightGray"/>
        </w:rPr>
        <w:t>Par dérogation aux conditions générales, les paiements des préfinancements sont effectués dans les 90 jours à compter de l’enregistrement par le pouvoir adjudicateur d’une facture recevable. Le paiement final des montants dus au contractant est effectué dans les 90 jours après l’approbation provisoire des biens et réception par le pouvoir adjudicateur d’une facture recevable.</w:t>
      </w:r>
      <w:r>
        <w:rPr>
          <w:rFonts w:ascii="Times New Roman" w:hAnsi="Times New Roman"/>
          <w:sz w:val="22"/>
          <w:szCs w:val="22"/>
        </w:rPr>
        <w:t>]</w:t>
      </w:r>
    </w:p>
    <w:p w14:paraId="62A04E0B" w14:textId="77777777" w:rsidR="006D5CEE" w:rsidRPr="003D6B6C" w:rsidRDefault="006D5CEE" w:rsidP="0011156A">
      <w:pPr>
        <w:ind w:left="113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yellow"/>
        </w:rPr>
        <w:t>Marché en gestion indirecte financé par le budget général de l’Union uniquement</w:t>
      </w:r>
      <w:r>
        <w:rPr>
          <w:rFonts w:ascii="Times New Roman" w:hAnsi="Times New Roman"/>
          <w:sz w:val="22"/>
          <w:szCs w:val="22"/>
        </w:rPr>
        <w:t xml:space="preserve">: </w:t>
      </w:r>
      <w:r>
        <w:rPr>
          <w:rFonts w:ascii="Times New Roman" w:hAnsi="Times New Roman"/>
          <w:sz w:val="22"/>
          <w:szCs w:val="22"/>
          <w:highlight w:val="lightGray"/>
        </w:rPr>
        <w:t>Par dérogation, le paiement final au contractant des montants dus est effectué dans les 90 jours après réception par le pouvoir adjudicateur d’une facture et la demande de certificat de réception provisoire.</w:t>
      </w:r>
      <w:r>
        <w:rPr>
          <w:rFonts w:ascii="Times New Roman" w:hAnsi="Times New Roman"/>
          <w:sz w:val="22"/>
          <w:szCs w:val="22"/>
        </w:rPr>
        <w:t>]</w:t>
      </w:r>
    </w:p>
    <w:p w14:paraId="3ADEECEA" w14:textId="77777777" w:rsidR="006D5CEE" w:rsidRPr="003D6B6C" w:rsidRDefault="00154F15" w:rsidP="0011156A">
      <w:pPr>
        <w:ind w:left="113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yellow"/>
        </w:rPr>
        <w:t>Marché en gestion indirecte financé par le budget général de l’Union et pour lequel une convention de financement a été signée avant le 1</w:t>
      </w:r>
      <w:r>
        <w:rPr>
          <w:rFonts w:ascii="Times New Roman" w:hAnsi="Times New Roman"/>
          <w:sz w:val="22"/>
          <w:szCs w:val="22"/>
          <w:highlight w:val="yellow"/>
          <w:vertAlign w:val="superscript"/>
        </w:rPr>
        <w:t>er</w:t>
      </w:r>
      <w:r>
        <w:rPr>
          <w:rFonts w:ascii="Times New Roman" w:hAnsi="Times New Roman"/>
          <w:sz w:val="22"/>
          <w:szCs w:val="22"/>
          <w:highlight w:val="yellow"/>
        </w:rPr>
        <w:t> janvier 2013 uniquement:</w:t>
      </w:r>
      <w:r>
        <w:rPr>
          <w:rFonts w:ascii="Times New Roman" w:hAnsi="Times New Roman"/>
          <w:sz w:val="22"/>
          <w:szCs w:val="22"/>
        </w:rPr>
        <w:t xml:space="preserve"> </w:t>
      </w:r>
      <w:r>
        <w:rPr>
          <w:rFonts w:ascii="Times New Roman" w:hAnsi="Times New Roman"/>
          <w:sz w:val="22"/>
          <w:szCs w:val="22"/>
          <w:highlight w:val="lightGray"/>
        </w:rPr>
        <w:t>Par dérogation, le paiement final au contractant des montants dus est effectué dans les 45 jours après l’acceptation provisoire des biens, après réception par le pouvoir adjudicateur d’une facture recevable.</w:t>
      </w:r>
      <w:r>
        <w:rPr>
          <w:rFonts w:ascii="Times New Roman" w:hAnsi="Times New Roman"/>
          <w:sz w:val="22"/>
          <w:szCs w:val="22"/>
        </w:rPr>
        <w:t>]</w:t>
      </w:r>
    </w:p>
    <w:p w14:paraId="15339C96" w14:textId="77777777" w:rsidR="008733D3" w:rsidRPr="003D6B6C" w:rsidRDefault="008733D3" w:rsidP="0011156A">
      <w:pPr>
        <w:ind w:left="113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yellow"/>
        </w:rPr>
        <w:t>Marché en gestion indirecte financé par le 11</w:t>
      </w:r>
      <w:r>
        <w:rPr>
          <w:rFonts w:ascii="Times New Roman" w:hAnsi="Times New Roman"/>
          <w:sz w:val="22"/>
          <w:szCs w:val="22"/>
          <w:highlight w:val="yellow"/>
          <w:vertAlign w:val="superscript"/>
        </w:rPr>
        <w:t>e</w:t>
      </w:r>
      <w:r>
        <w:rPr>
          <w:rFonts w:ascii="Times New Roman" w:hAnsi="Times New Roman"/>
          <w:sz w:val="22"/>
          <w:szCs w:val="22"/>
          <w:highlight w:val="yellow"/>
        </w:rPr>
        <w:t> FED, uniquement lorsque la Commission européenne effectue les paiements:</w:t>
      </w:r>
      <w:r>
        <w:rPr>
          <w:rFonts w:ascii="Times New Roman" w:hAnsi="Times New Roman"/>
          <w:sz w:val="22"/>
          <w:szCs w:val="22"/>
        </w:rPr>
        <w:t xml:space="preserve"> </w:t>
      </w:r>
      <w:r>
        <w:rPr>
          <w:rFonts w:ascii="Times New Roman" w:hAnsi="Times New Roman"/>
          <w:sz w:val="22"/>
          <w:szCs w:val="22"/>
          <w:highlight w:val="lightGray"/>
        </w:rPr>
        <w:t>Par dérogation aux conditions générales, les paiements des préfinancements sont effectués dans les 60 jours à compter de l’enregistrement par le pouvoir adjudicateur d’une facture recevable. Le paiement final des montants dus au contractant est effectué dans les 90 jours après l’approbation provisoire des biens et réception par le pouvoir adjudicateur d’une facture recevable.</w:t>
      </w:r>
      <w:r>
        <w:rPr>
          <w:rFonts w:ascii="Times New Roman" w:hAnsi="Times New Roman"/>
          <w:sz w:val="22"/>
          <w:szCs w:val="22"/>
        </w:rPr>
        <w:t>]</w:t>
      </w:r>
    </w:p>
    <w:p w14:paraId="780AD638" w14:textId="77777777" w:rsidR="001B4DA9" w:rsidRPr="003D6B6C" w:rsidRDefault="00E87734" w:rsidP="005D03AA">
      <w:pPr>
        <w:ind w:left="1134" w:hanging="709"/>
        <w:jc w:val="both"/>
        <w:rPr>
          <w:rFonts w:ascii="Times New Roman" w:hAnsi="Times New Roman"/>
          <w:sz w:val="22"/>
          <w:szCs w:val="22"/>
        </w:rPr>
      </w:pPr>
      <w:r>
        <w:rPr>
          <w:rFonts w:ascii="Times New Roman" w:hAnsi="Times New Roman"/>
          <w:sz w:val="22"/>
          <w:szCs w:val="22"/>
        </w:rPr>
        <w:t>26.5</w:t>
      </w:r>
      <w:r>
        <w:rPr>
          <w:rFonts w:ascii="Times New Roman" w:hAnsi="Times New Roman"/>
          <w:sz w:val="22"/>
          <w:szCs w:val="22"/>
        </w:rPr>
        <w:tab/>
        <w:t>En vue d’obtenir les paiements, le contractant doit introduire auprès de l’autorité visée à l’article 26, paragraphe 1, ci-dessus:</w:t>
      </w:r>
    </w:p>
    <w:p w14:paraId="52C9173B" w14:textId="77777777" w:rsidR="00E87734" w:rsidRPr="003D6B6C" w:rsidRDefault="00035D61" w:rsidP="00B9316C">
      <w:pPr>
        <w:ind w:left="1560" w:hanging="426"/>
        <w:jc w:val="both"/>
        <w:rPr>
          <w:rFonts w:ascii="Times New Roman" w:hAnsi="Times New Roman"/>
          <w:sz w:val="22"/>
          <w:szCs w:val="22"/>
        </w:rPr>
      </w:pPr>
      <w:r>
        <w:rPr>
          <w:rFonts w:ascii="Times New Roman" w:hAnsi="Times New Roman"/>
          <w:sz w:val="22"/>
          <w:szCs w:val="22"/>
        </w:rPr>
        <w:t>a)</w:t>
      </w:r>
      <w:r>
        <w:rPr>
          <w:rFonts w:ascii="Times New Roman" w:hAnsi="Times New Roman"/>
          <w:b/>
          <w:sz w:val="22"/>
          <w:szCs w:val="22"/>
        </w:rPr>
        <w:tab/>
      </w:r>
      <w:r>
        <w:rPr>
          <w:rFonts w:ascii="Times New Roman" w:hAnsi="Times New Roman"/>
          <w:sz w:val="22"/>
          <w:szCs w:val="22"/>
        </w:rPr>
        <w:t>[</w:t>
      </w:r>
      <w:r>
        <w:rPr>
          <w:rFonts w:ascii="Times New Roman" w:hAnsi="Times New Roman"/>
          <w:bCs/>
          <w:sz w:val="22"/>
          <w:szCs w:val="22"/>
          <w:highlight w:val="lightGray"/>
        </w:rPr>
        <w:t>Pour le préfinancement de 40 %</w:t>
      </w:r>
      <w:r>
        <w:rPr>
          <w:rFonts w:ascii="Times New Roman" w:hAnsi="Times New Roman"/>
          <w:sz w:val="22"/>
          <w:szCs w:val="22"/>
        </w:rPr>
        <w:t>], [</w:t>
      </w:r>
      <w:r>
        <w:rPr>
          <w:rFonts w:ascii="Times New Roman" w:hAnsi="Times New Roman"/>
          <w:bCs/>
          <w:sz w:val="22"/>
          <w:szCs w:val="22"/>
          <w:highlight w:val="lightGray"/>
        </w:rPr>
        <w:t>la garantie de préfinancement</w:t>
      </w:r>
      <w:r>
        <w:rPr>
          <w:rFonts w:ascii="Times New Roman" w:hAnsi="Times New Roman"/>
          <w:sz w:val="22"/>
          <w:szCs w:val="22"/>
        </w:rPr>
        <w:t>][</w:t>
      </w:r>
      <w:r>
        <w:rPr>
          <w:rFonts w:ascii="Times New Roman" w:hAnsi="Times New Roman"/>
          <w:sz w:val="22"/>
          <w:szCs w:val="22"/>
          <w:highlight w:val="yellow"/>
        </w:rPr>
        <w:t>et insérer l’une des phrases ci-dessous:</w:t>
      </w:r>
      <w:r>
        <w:rPr>
          <w:rFonts w:ascii="Times New Roman" w:hAnsi="Times New Roman"/>
          <w:bCs/>
          <w:sz w:val="22"/>
          <w:szCs w:val="22"/>
          <w:highlight w:val="yellow"/>
        </w:rPr>
        <w:t xml:space="preserve"> </w:t>
      </w:r>
    </w:p>
    <w:p w14:paraId="078D1A10" w14:textId="7F2B1FB5" w:rsidR="00E87734" w:rsidRDefault="00695007" w:rsidP="00035D61">
      <w:pPr>
        <w:spacing w:before="0" w:after="0"/>
        <w:ind w:left="1985" w:hanging="284"/>
        <w:jc w:val="both"/>
        <w:rPr>
          <w:rFonts w:ascii="Times New Roman" w:hAnsi="Times New Roman"/>
          <w:sz w:val="22"/>
          <w:szCs w:val="22"/>
          <w:highlight w:val="yellow"/>
        </w:rPr>
      </w:pPr>
      <w:r>
        <w:rPr>
          <w:rFonts w:ascii="Times New Roman" w:hAnsi="Times New Roman"/>
          <w:sz w:val="22"/>
          <w:szCs w:val="22"/>
          <w:highlight w:val="yellow"/>
        </w:rPr>
        <w:t xml:space="preserve">[si le montant total du marché est inférieur ou égal à 60 000 EUR:] </w:t>
      </w:r>
    </w:p>
    <w:p w14:paraId="4B2D934E" w14:textId="77777777" w:rsidR="00695007" w:rsidRPr="003D6B6C" w:rsidRDefault="00695007" w:rsidP="00695007">
      <w:pPr>
        <w:spacing w:before="0" w:after="0"/>
        <w:ind w:left="1985"/>
        <w:jc w:val="both"/>
        <w:rPr>
          <w:rFonts w:ascii="Times New Roman" w:hAnsi="Times New Roman"/>
          <w:bCs/>
          <w:sz w:val="22"/>
          <w:szCs w:val="22"/>
        </w:rPr>
      </w:pPr>
      <w:r>
        <w:rPr>
          <w:rFonts w:ascii="Times New Roman" w:hAnsi="Times New Roman"/>
          <w:sz w:val="22"/>
          <w:szCs w:val="22"/>
        </w:rPr>
        <w:t>[</w:t>
      </w:r>
      <w:r>
        <w:rPr>
          <w:rFonts w:ascii="Times New Roman" w:hAnsi="Times New Roman"/>
          <w:bCs/>
          <w:sz w:val="22"/>
          <w:szCs w:val="22"/>
          <w:highlight w:val="lightGray"/>
        </w:rPr>
        <w:t>Par dérogation à l’article 26, paragraphe 5, des conditions générales, aucune garantie de préfinancement n’est exigée.</w:t>
      </w:r>
      <w:r>
        <w:rPr>
          <w:rFonts w:ascii="Times New Roman" w:hAnsi="Times New Roman"/>
          <w:sz w:val="22"/>
          <w:szCs w:val="22"/>
        </w:rPr>
        <w:t>]</w:t>
      </w:r>
    </w:p>
    <w:p w14:paraId="2E78F9B8" w14:textId="77777777" w:rsidR="00695007" w:rsidRPr="003D6B6C" w:rsidRDefault="00695007" w:rsidP="00035D61">
      <w:pPr>
        <w:spacing w:before="0" w:after="0"/>
        <w:ind w:left="1985" w:hanging="284"/>
        <w:jc w:val="both"/>
        <w:rPr>
          <w:rFonts w:ascii="Times New Roman" w:hAnsi="Times New Roman"/>
          <w:bCs/>
          <w:sz w:val="22"/>
          <w:szCs w:val="22"/>
          <w:highlight w:val="yellow"/>
        </w:rPr>
      </w:pPr>
    </w:p>
    <w:p w14:paraId="7210CE46" w14:textId="77777777" w:rsidR="00695007" w:rsidRDefault="00695007" w:rsidP="00695007">
      <w:pPr>
        <w:spacing w:before="0" w:after="0"/>
        <w:ind w:left="1985" w:hanging="284"/>
        <w:jc w:val="both"/>
        <w:rPr>
          <w:rFonts w:ascii="Times New Roman" w:hAnsi="Times New Roman"/>
          <w:sz w:val="22"/>
          <w:szCs w:val="22"/>
          <w:highlight w:val="yellow"/>
        </w:rPr>
      </w:pPr>
      <w:r>
        <w:rPr>
          <w:rFonts w:ascii="Times New Roman" w:hAnsi="Times New Roman"/>
          <w:sz w:val="22"/>
          <w:szCs w:val="22"/>
          <w:highlight w:val="yellow"/>
        </w:rPr>
        <w:t xml:space="preserve">[si le montant total du marché est supérieur à 60 000 EUR:] </w:t>
      </w:r>
    </w:p>
    <w:p w14:paraId="09C649BF" w14:textId="77777777" w:rsidR="00E87734" w:rsidRPr="003D6B6C" w:rsidRDefault="00695007" w:rsidP="0011156A">
      <w:pPr>
        <w:spacing w:before="0" w:after="0"/>
        <w:ind w:left="1985"/>
        <w:jc w:val="both"/>
        <w:rPr>
          <w:rFonts w:ascii="Times New Roman" w:hAnsi="Times New Roman"/>
          <w:bCs/>
          <w:sz w:val="22"/>
          <w:szCs w:val="22"/>
        </w:rPr>
      </w:pPr>
      <w:r>
        <w:rPr>
          <w:rFonts w:ascii="Times New Roman" w:hAnsi="Times New Roman"/>
          <w:sz w:val="22"/>
          <w:szCs w:val="22"/>
        </w:rPr>
        <w:t>[</w:t>
      </w:r>
      <w:r>
        <w:rPr>
          <w:rFonts w:ascii="Times New Roman" w:hAnsi="Times New Roman"/>
          <w:bCs/>
          <w:sz w:val="22"/>
          <w:szCs w:val="22"/>
          <w:highlight w:val="lightGray"/>
        </w:rPr>
        <w:t xml:space="preserve">Lorsque i) le préfinancement demandé est inférieur ou égal à 300 000 EUR </w:t>
      </w:r>
      <w:r>
        <w:rPr>
          <w:rFonts w:ascii="Times New Roman" w:hAnsi="Times New Roman"/>
          <w:b/>
          <w:bCs/>
          <w:sz w:val="22"/>
          <w:szCs w:val="22"/>
          <w:highlight w:val="lightGray"/>
        </w:rPr>
        <w:t>et</w:t>
      </w:r>
      <w:r>
        <w:rPr>
          <w:rFonts w:ascii="Times New Roman" w:hAnsi="Times New Roman"/>
          <w:bCs/>
          <w:sz w:val="22"/>
          <w:szCs w:val="22"/>
          <w:highlight w:val="lightGray"/>
        </w:rPr>
        <w:t xml:space="preserve"> que ii) le pouvoir adjudicateur n’exige pas de garantie financière à la suite d’une évaluation des risques</w:t>
      </w:r>
      <w:r w:rsidR="00F0405C">
        <w:rPr>
          <w:rStyle w:val="FootnoteReference"/>
          <w:rFonts w:ascii="Times New Roman" w:hAnsi="Times New Roman"/>
          <w:bCs/>
          <w:sz w:val="22"/>
          <w:szCs w:val="22"/>
          <w:highlight w:val="lightGray"/>
        </w:rPr>
        <w:footnoteReference w:id="3"/>
      </w:r>
      <w:r>
        <w:rPr>
          <w:rFonts w:ascii="Times New Roman" w:hAnsi="Times New Roman"/>
          <w:bCs/>
          <w:sz w:val="22"/>
          <w:szCs w:val="22"/>
          <w:highlight w:val="lightGray"/>
        </w:rPr>
        <w:t>, aucune garantie de préfinancement n’est exigée, par dérogation à l’article 26, paragraphe 5, des conditions générales.</w:t>
      </w:r>
      <w:r>
        <w:rPr>
          <w:rFonts w:ascii="Times New Roman" w:hAnsi="Times New Roman"/>
          <w:sz w:val="22"/>
          <w:szCs w:val="22"/>
        </w:rPr>
        <w:t>]</w:t>
      </w:r>
    </w:p>
    <w:p w14:paraId="1707D0AC" w14:textId="77777777" w:rsidR="0047783A" w:rsidRPr="003D6B6C" w:rsidRDefault="0047783A" w:rsidP="00035D61">
      <w:pPr>
        <w:spacing w:after="0"/>
        <w:ind w:left="1559" w:hanging="425"/>
        <w:jc w:val="both"/>
        <w:rPr>
          <w:rFonts w:ascii="Times New Roman" w:hAnsi="Times New Roman"/>
          <w:sz w:val="22"/>
          <w:szCs w:val="22"/>
        </w:rPr>
      </w:pPr>
      <w:r>
        <w:rPr>
          <w:rFonts w:ascii="Times New Roman" w:hAnsi="Times New Roman"/>
          <w:sz w:val="22"/>
          <w:szCs w:val="22"/>
        </w:rPr>
        <w:t>b)</w:t>
      </w:r>
      <w:r>
        <w:rPr>
          <w:rFonts w:ascii="Times New Roman" w:hAnsi="Times New Roman"/>
          <w:b/>
          <w:sz w:val="22"/>
          <w:szCs w:val="22"/>
        </w:rPr>
        <w:tab/>
      </w:r>
      <w:r>
        <w:rPr>
          <w:rFonts w:ascii="Times New Roman" w:hAnsi="Times New Roman"/>
          <w:sz w:val="22"/>
          <w:szCs w:val="22"/>
        </w:rPr>
        <w:t>[</w:t>
      </w:r>
      <w:r>
        <w:rPr>
          <w:rFonts w:ascii="Times New Roman" w:hAnsi="Times New Roman"/>
          <w:bCs/>
          <w:sz w:val="22"/>
          <w:szCs w:val="22"/>
          <w:highlight w:val="lightGray"/>
        </w:rPr>
        <w:t>Pour le paiement du solde de 60 %</w:t>
      </w:r>
      <w:r>
        <w:rPr>
          <w:rFonts w:ascii="Times New Roman" w:hAnsi="Times New Roman"/>
          <w:sz w:val="22"/>
          <w:szCs w:val="22"/>
        </w:rPr>
        <w:t>] [</w:t>
      </w:r>
      <w:r>
        <w:rPr>
          <w:rFonts w:ascii="Times New Roman" w:hAnsi="Times New Roman"/>
          <w:bCs/>
          <w:sz w:val="22"/>
          <w:szCs w:val="22"/>
          <w:highlight w:val="lightGray"/>
        </w:rPr>
        <w:t>Pour le paiement de la totalité du solde</w:t>
      </w:r>
      <w:r>
        <w:rPr>
          <w:rFonts w:ascii="Times New Roman" w:hAnsi="Times New Roman"/>
          <w:sz w:val="22"/>
          <w:szCs w:val="22"/>
        </w:rPr>
        <w:t>], la (les) facture(s) en [</w:t>
      </w:r>
      <w:r>
        <w:rPr>
          <w:rFonts w:ascii="Times New Roman" w:hAnsi="Times New Roman"/>
          <w:sz w:val="22"/>
          <w:szCs w:val="22"/>
          <w:highlight w:val="lightGray"/>
        </w:rPr>
        <w:t>trois exemplaires</w:t>
      </w:r>
      <w:r>
        <w:rPr>
          <w:rFonts w:ascii="Times New Roman" w:hAnsi="Times New Roman"/>
          <w:sz w:val="22"/>
          <w:szCs w:val="22"/>
        </w:rPr>
        <w:t>] ainsi que la demande de réception provisoire des fournitures.</w:t>
      </w:r>
    </w:p>
    <w:p w14:paraId="21DD1760" w14:textId="77777777" w:rsidR="0047783A" w:rsidRPr="003D6B6C" w:rsidRDefault="0047783A" w:rsidP="006B145B">
      <w:pPr>
        <w:tabs>
          <w:tab w:val="right" w:pos="9885"/>
        </w:tabs>
        <w:ind w:left="1134" w:hanging="709"/>
        <w:jc w:val="both"/>
        <w:rPr>
          <w:rFonts w:ascii="Times New Roman" w:hAnsi="Times New Roman"/>
          <w:b/>
          <w:sz w:val="22"/>
          <w:szCs w:val="22"/>
        </w:rPr>
      </w:pPr>
      <w:r>
        <w:rPr>
          <w:rFonts w:ascii="Times New Roman" w:hAnsi="Times New Roman"/>
          <w:sz w:val="22"/>
          <w:szCs w:val="22"/>
        </w:rPr>
        <w:t>26.9</w:t>
      </w:r>
      <w:r>
        <w:rPr>
          <w:rFonts w:ascii="Times New Roman" w:hAnsi="Times New Roman"/>
          <w:b/>
          <w:sz w:val="22"/>
          <w:szCs w:val="22"/>
        </w:rPr>
        <w:tab/>
      </w:r>
      <w:r>
        <w:rPr>
          <w:rFonts w:ascii="Times New Roman" w:hAnsi="Times New Roman"/>
          <w:color w:val="000000"/>
          <w:sz w:val="22"/>
          <w:szCs w:val="22"/>
        </w:rPr>
        <w:t>&lt;</w:t>
      </w:r>
      <w:r>
        <w:rPr>
          <w:rFonts w:ascii="Times New Roman" w:hAnsi="Times New Roman"/>
          <w:color w:val="000000"/>
          <w:sz w:val="22"/>
          <w:szCs w:val="22"/>
          <w:highlight w:val="yellow"/>
        </w:rPr>
        <w:t>Indiquer si le marché comporte une clause de révision des prix. Celle-ci doit être établie conformément aux instructions internes par les services compétents de la Commission européenne</w:t>
      </w:r>
      <w:r>
        <w:rPr>
          <w:rFonts w:ascii="Times New Roman" w:hAnsi="Times New Roman"/>
          <w:color w:val="000000"/>
          <w:sz w:val="22"/>
          <w:szCs w:val="22"/>
        </w:rPr>
        <w:t>&gt;</w:t>
      </w:r>
    </w:p>
    <w:p w14:paraId="39D67CE4" w14:textId="77777777" w:rsidR="0047783A" w:rsidRPr="003D6B6C" w:rsidRDefault="0047783A" w:rsidP="00B34179">
      <w:pPr>
        <w:spacing w:before="240"/>
        <w:ind w:left="1134" w:hanging="1134"/>
        <w:jc w:val="both"/>
        <w:rPr>
          <w:rFonts w:ascii="Times New Roman" w:hAnsi="Times New Roman"/>
          <w:b/>
          <w:sz w:val="24"/>
          <w:szCs w:val="24"/>
        </w:rPr>
      </w:pPr>
      <w:bookmarkStart w:id="18" w:name="_Toc124934913"/>
      <w:r>
        <w:rPr>
          <w:rFonts w:ascii="Times New Roman" w:hAnsi="Times New Roman"/>
          <w:b/>
          <w:sz w:val="24"/>
          <w:szCs w:val="24"/>
        </w:rPr>
        <w:t>Article 28</w:t>
      </w:r>
      <w:r>
        <w:rPr>
          <w:rFonts w:ascii="Times New Roman" w:hAnsi="Times New Roman"/>
          <w:b/>
          <w:sz w:val="24"/>
          <w:szCs w:val="24"/>
        </w:rPr>
        <w:tab/>
        <w:t>Retards de paiement</w:t>
      </w:r>
    </w:p>
    <w:p w14:paraId="74820773" w14:textId="77777777" w:rsidR="0047783A" w:rsidRPr="003D6B6C" w:rsidRDefault="0047783A" w:rsidP="006B145B">
      <w:pPr>
        <w:autoSpaceDE w:val="0"/>
        <w:autoSpaceDN w:val="0"/>
        <w:adjustRightInd w:val="0"/>
        <w:ind w:left="1134" w:hanging="709"/>
        <w:jc w:val="both"/>
        <w:rPr>
          <w:rFonts w:ascii="Times New Roman" w:hAnsi="Times New Roman"/>
          <w:snapToGrid/>
          <w:sz w:val="22"/>
          <w:szCs w:val="22"/>
        </w:rPr>
      </w:pPr>
      <w:r>
        <w:rPr>
          <w:rFonts w:ascii="Times New Roman" w:hAnsi="Times New Roman"/>
          <w:sz w:val="22"/>
          <w:szCs w:val="22"/>
        </w:rPr>
        <w:t>28.2</w:t>
      </w:r>
      <w:r>
        <w:rPr>
          <w:rFonts w:ascii="Times New Roman" w:hAnsi="Times New Roman"/>
          <w:b/>
          <w:sz w:val="22"/>
          <w:szCs w:val="22"/>
        </w:rPr>
        <w:tab/>
      </w:r>
      <w:r>
        <w:rPr>
          <w:rFonts w:ascii="Times New Roman" w:hAnsi="Times New Roman"/>
          <w:sz w:val="22"/>
          <w:szCs w:val="22"/>
        </w:rPr>
        <w:t>[</w:t>
      </w:r>
      <w:r>
        <w:rPr>
          <w:rFonts w:ascii="Times New Roman" w:hAnsi="Times New Roman"/>
          <w:snapToGrid/>
          <w:sz w:val="22"/>
          <w:szCs w:val="22"/>
          <w:highlight w:val="yellow"/>
        </w:rPr>
        <w:t>En gestion indirecte:</w:t>
      </w:r>
    </w:p>
    <w:p w14:paraId="3B64B1B3" w14:textId="77777777" w:rsidR="0047783A" w:rsidRPr="003D6B6C" w:rsidRDefault="0047783A" w:rsidP="006B145B">
      <w:pPr>
        <w:tabs>
          <w:tab w:val="right" w:pos="5678"/>
        </w:tabs>
        <w:ind w:left="1134"/>
        <w:jc w:val="both"/>
        <w:rPr>
          <w:rFonts w:ascii="Times New Roman" w:hAnsi="Times New Roman"/>
          <w:snapToGrid/>
          <w:sz w:val="22"/>
          <w:szCs w:val="22"/>
        </w:rPr>
      </w:pPr>
      <w:r>
        <w:rPr>
          <w:rFonts w:ascii="Times New Roman" w:hAnsi="Times New Roman"/>
          <w:snapToGrid/>
          <w:sz w:val="22"/>
          <w:szCs w:val="22"/>
          <w:highlight w:val="lightGray"/>
        </w:rPr>
        <w:t>Par dérogation à l’article 28, paragraphe 2, des conditions générales</w:t>
      </w:r>
      <w:r>
        <w:rPr>
          <w:rFonts w:ascii="Times New Roman" w:hAnsi="Times New Roman"/>
          <w:sz w:val="22"/>
          <w:szCs w:val="22"/>
          <w:highlight w:val="lightGray"/>
        </w:rPr>
        <w:t>, à l’expiration du délai prévu à l’article 26, paragraphe 3, il est versé au contractant des intérêts de retard s’il en fait la demande au taux et pour la période visés aux conditions générales. La demande doit être reçue dans les deux mois suivant la date du paiement tardif.</w:t>
      </w:r>
      <w:r>
        <w:rPr>
          <w:rFonts w:ascii="Times New Roman" w:hAnsi="Times New Roman"/>
          <w:snapToGrid/>
          <w:sz w:val="22"/>
          <w:szCs w:val="22"/>
        </w:rPr>
        <w:t>]</w:t>
      </w:r>
    </w:p>
    <w:p w14:paraId="210201A9" w14:textId="77777777" w:rsidR="0047783A" w:rsidRPr="003D6B6C" w:rsidRDefault="0047783A" w:rsidP="00B34179">
      <w:pPr>
        <w:spacing w:before="240"/>
        <w:ind w:left="1134" w:hanging="1134"/>
        <w:jc w:val="both"/>
        <w:rPr>
          <w:rFonts w:ascii="Times New Roman" w:hAnsi="Times New Roman"/>
          <w:b/>
          <w:sz w:val="24"/>
          <w:szCs w:val="24"/>
        </w:rPr>
      </w:pPr>
      <w:r>
        <w:rPr>
          <w:rFonts w:ascii="Times New Roman" w:hAnsi="Times New Roman"/>
          <w:b/>
          <w:sz w:val="24"/>
          <w:szCs w:val="24"/>
        </w:rPr>
        <w:t>Article 29</w:t>
      </w:r>
      <w:r>
        <w:rPr>
          <w:rFonts w:ascii="Times New Roman" w:hAnsi="Times New Roman"/>
          <w:b/>
          <w:sz w:val="24"/>
          <w:szCs w:val="24"/>
        </w:rPr>
        <w:tab/>
        <w:t>Livraison</w:t>
      </w:r>
      <w:bookmarkEnd w:id="18"/>
    </w:p>
    <w:p w14:paraId="65067DDE" w14:textId="77777777" w:rsidR="0047783A" w:rsidRPr="003D6B6C" w:rsidRDefault="0047783A" w:rsidP="006B145B">
      <w:pPr>
        <w:ind w:left="1134" w:hanging="709"/>
        <w:jc w:val="both"/>
        <w:rPr>
          <w:rFonts w:ascii="Times New Roman" w:hAnsi="Times New Roman"/>
          <w:b/>
          <w:sz w:val="22"/>
          <w:szCs w:val="22"/>
        </w:rPr>
      </w:pPr>
      <w:r>
        <w:rPr>
          <w:rFonts w:ascii="Times New Roman" w:hAnsi="Times New Roman"/>
          <w:sz w:val="22"/>
          <w:szCs w:val="22"/>
        </w:rPr>
        <w:t>29.3</w:t>
      </w:r>
      <w:r>
        <w:rPr>
          <w:rFonts w:ascii="Times New Roman" w:hAnsi="Times New Roman"/>
          <w:b/>
          <w:sz w:val="22"/>
          <w:szCs w:val="22"/>
        </w:rPr>
        <w:tab/>
      </w:r>
      <w:r>
        <w:rPr>
          <w:rFonts w:ascii="Times New Roman" w:hAnsi="Times New Roman"/>
          <w:sz w:val="22"/>
          <w:szCs w:val="22"/>
        </w:rPr>
        <w:t>&lt;</w:t>
      </w:r>
      <w:r>
        <w:rPr>
          <w:rFonts w:ascii="Times New Roman" w:hAnsi="Times New Roman"/>
          <w:sz w:val="22"/>
          <w:szCs w:val="22"/>
          <w:highlight w:val="yellow"/>
        </w:rPr>
        <w:t>Indiquer les exigences spécifiques d’emballage</w:t>
      </w:r>
      <w:r>
        <w:rPr>
          <w:rFonts w:ascii="Times New Roman" w:hAnsi="Times New Roman"/>
          <w:sz w:val="22"/>
          <w:szCs w:val="22"/>
        </w:rPr>
        <w:t>&gt;</w:t>
      </w:r>
    </w:p>
    <w:p w14:paraId="4517A6CF" w14:textId="77777777" w:rsidR="0047783A" w:rsidRPr="003D6B6C" w:rsidRDefault="0047783A" w:rsidP="006B145B">
      <w:pPr>
        <w:ind w:left="113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lightGray"/>
        </w:rPr>
        <w:t>Les emballages deviennent la propriété du bénéficiaire, sous réserve de respecter l’environnement</w:t>
      </w:r>
      <w:r>
        <w:rPr>
          <w:rFonts w:ascii="Times New Roman" w:hAnsi="Times New Roman"/>
          <w:sz w:val="22"/>
          <w:szCs w:val="22"/>
        </w:rPr>
        <w:t>].</w:t>
      </w:r>
    </w:p>
    <w:p w14:paraId="37672206" w14:textId="77777777" w:rsidR="0047783A" w:rsidRPr="003D6B6C" w:rsidRDefault="0049293D" w:rsidP="0049293D">
      <w:pPr>
        <w:ind w:left="1134"/>
        <w:jc w:val="both"/>
        <w:rPr>
          <w:rFonts w:ascii="Times New Roman" w:hAnsi="Times New Roman"/>
          <w:b/>
          <w:sz w:val="22"/>
          <w:szCs w:val="22"/>
        </w:rPr>
      </w:pPr>
      <w:r>
        <w:rPr>
          <w:rFonts w:ascii="Times New Roman" w:hAnsi="Times New Roman"/>
          <w:sz w:val="22"/>
          <w:szCs w:val="22"/>
          <w:highlight w:val="yellow"/>
        </w:rPr>
        <w:t>Ou</w:t>
      </w:r>
      <w:r>
        <w:rPr>
          <w:rFonts w:ascii="Times New Roman" w:hAnsi="Times New Roman"/>
          <w:sz w:val="22"/>
          <w:szCs w:val="22"/>
        </w:rPr>
        <w:t xml:space="preserve"> [</w:t>
      </w:r>
      <w:r>
        <w:rPr>
          <w:rFonts w:ascii="Times New Roman" w:hAnsi="Times New Roman"/>
          <w:sz w:val="22"/>
          <w:szCs w:val="22"/>
          <w:highlight w:val="lightGray"/>
        </w:rPr>
        <w:t>Les emballages restent la propriété du contractant, sous réserve de respecter l’environnement</w:t>
      </w:r>
      <w:r>
        <w:rPr>
          <w:rFonts w:ascii="Times New Roman" w:hAnsi="Times New Roman"/>
          <w:sz w:val="22"/>
          <w:szCs w:val="22"/>
        </w:rPr>
        <w:t>].</w:t>
      </w:r>
    </w:p>
    <w:p w14:paraId="0A911D52" w14:textId="77777777" w:rsidR="0047783A" w:rsidRPr="003D6B6C" w:rsidRDefault="0047783A" w:rsidP="006B145B">
      <w:pPr>
        <w:ind w:left="1134" w:hanging="1134"/>
        <w:jc w:val="both"/>
        <w:rPr>
          <w:rFonts w:ascii="Times New Roman" w:hAnsi="Times New Roman"/>
          <w:sz w:val="22"/>
          <w:szCs w:val="22"/>
        </w:rPr>
      </w:pPr>
      <w:r>
        <w:rPr>
          <w:rFonts w:ascii="Times New Roman" w:hAnsi="Times New Roman"/>
          <w:sz w:val="22"/>
          <w:szCs w:val="22"/>
        </w:rPr>
        <w:t>29.5, 29.6 et 29.7</w:t>
      </w:r>
      <w:r>
        <w:rPr>
          <w:rFonts w:ascii="Times New Roman" w:hAnsi="Times New Roman"/>
          <w:sz w:val="22"/>
          <w:szCs w:val="22"/>
        </w:rPr>
        <w:tab/>
        <w:t>&lt;</w:t>
      </w:r>
      <w:r>
        <w:rPr>
          <w:rFonts w:ascii="Times New Roman" w:hAnsi="Times New Roman"/>
          <w:sz w:val="22"/>
          <w:szCs w:val="22"/>
          <w:highlight w:val="yellow"/>
        </w:rPr>
        <w:t>Préciser les exigences concernant les documents devant accompagner chaque livraison et les marquages sur l’emballage</w:t>
      </w:r>
      <w:r>
        <w:rPr>
          <w:rFonts w:ascii="Times New Roman" w:hAnsi="Times New Roman"/>
          <w:sz w:val="22"/>
          <w:szCs w:val="22"/>
        </w:rPr>
        <w:t>&gt;</w:t>
      </w:r>
    </w:p>
    <w:p w14:paraId="7C1E7DCB" w14:textId="77777777" w:rsidR="0047783A" w:rsidRPr="003D6B6C" w:rsidRDefault="0047783A" w:rsidP="00B34179">
      <w:pPr>
        <w:spacing w:before="240"/>
        <w:ind w:left="1134" w:hanging="1134"/>
        <w:jc w:val="both"/>
        <w:rPr>
          <w:rFonts w:ascii="Times New Roman" w:hAnsi="Times New Roman"/>
          <w:b/>
          <w:sz w:val="24"/>
          <w:szCs w:val="24"/>
        </w:rPr>
      </w:pPr>
      <w:bookmarkStart w:id="19" w:name="_Toc124934914"/>
      <w:r>
        <w:rPr>
          <w:rFonts w:ascii="Times New Roman" w:hAnsi="Times New Roman"/>
          <w:b/>
          <w:sz w:val="24"/>
          <w:szCs w:val="24"/>
        </w:rPr>
        <w:t>Article 31</w:t>
      </w:r>
      <w:r>
        <w:rPr>
          <w:rFonts w:ascii="Times New Roman" w:hAnsi="Times New Roman"/>
          <w:b/>
          <w:sz w:val="24"/>
          <w:szCs w:val="24"/>
        </w:rPr>
        <w:tab/>
        <w:t>Réception provisoire</w:t>
      </w:r>
      <w:bookmarkEnd w:id="19"/>
    </w:p>
    <w:p w14:paraId="38CCDEFD" w14:textId="77777777" w:rsidR="0047783A" w:rsidRPr="003D6B6C" w:rsidRDefault="0047783A" w:rsidP="001B55AC">
      <w:pPr>
        <w:jc w:val="both"/>
        <w:rPr>
          <w:rFonts w:ascii="Times New Roman" w:hAnsi="Times New Roman"/>
          <w:sz w:val="22"/>
          <w:szCs w:val="22"/>
        </w:rPr>
      </w:pPr>
      <w:r>
        <w:rPr>
          <w:rFonts w:ascii="Times New Roman" w:hAnsi="Times New Roman"/>
          <w:sz w:val="22"/>
          <w:szCs w:val="22"/>
        </w:rPr>
        <w:t>Pour la réception provisoire, il y a lieu d’utiliser le certificat de l’annexe C11. &lt;</w:t>
      </w:r>
      <w:r>
        <w:rPr>
          <w:rFonts w:ascii="Times New Roman" w:hAnsi="Times New Roman"/>
          <w:sz w:val="22"/>
          <w:szCs w:val="22"/>
          <w:highlight w:val="yellow"/>
        </w:rPr>
        <w:t>Préciser les modalités de réception provisoire</w:t>
      </w:r>
      <w:r>
        <w:rPr>
          <w:rFonts w:ascii="Times New Roman" w:hAnsi="Times New Roman"/>
          <w:sz w:val="22"/>
          <w:szCs w:val="22"/>
        </w:rPr>
        <w:t>&gt;</w:t>
      </w:r>
    </w:p>
    <w:p w14:paraId="26936EB2" w14:textId="77777777" w:rsidR="00724C93" w:rsidRPr="003D6B6C" w:rsidRDefault="00724C93" w:rsidP="00724C93">
      <w:pPr>
        <w:autoSpaceDE w:val="0"/>
        <w:autoSpaceDN w:val="0"/>
        <w:adjustRightInd w:val="0"/>
        <w:spacing w:before="0" w:after="0"/>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yellow"/>
        </w:rPr>
        <w:t>Marché en gestion décentralisée/indirecte financé par le budget général de l’Union et pour lequel une convention de financement a été signée avant le 1</w:t>
      </w:r>
      <w:r>
        <w:rPr>
          <w:rFonts w:ascii="Times New Roman" w:hAnsi="Times New Roman"/>
          <w:sz w:val="22"/>
          <w:szCs w:val="22"/>
          <w:highlight w:val="yellow"/>
          <w:vertAlign w:val="superscript"/>
        </w:rPr>
        <w:t>er</w:t>
      </w:r>
      <w:r>
        <w:rPr>
          <w:rFonts w:ascii="Times New Roman" w:hAnsi="Times New Roman"/>
          <w:sz w:val="22"/>
          <w:szCs w:val="22"/>
          <w:highlight w:val="yellow"/>
        </w:rPr>
        <w:t> janvier 2013 uniquement:</w:t>
      </w:r>
      <w:r>
        <w:rPr>
          <w:rFonts w:ascii="Times New Roman" w:hAnsi="Times New Roman"/>
          <w:sz w:val="22"/>
          <w:szCs w:val="22"/>
        </w:rPr>
        <w:t xml:space="preserve"> </w:t>
      </w:r>
    </w:p>
    <w:p w14:paraId="010A73E4" w14:textId="77777777" w:rsidR="00E219CD" w:rsidRPr="00F017DE" w:rsidRDefault="0011156A" w:rsidP="00E219CD">
      <w:pPr>
        <w:ind w:left="1134" w:hanging="708"/>
        <w:jc w:val="both"/>
        <w:rPr>
          <w:rFonts w:ascii="Times New Roman" w:hAnsi="Times New Roman"/>
          <w:sz w:val="22"/>
          <w:szCs w:val="22"/>
          <w:highlight w:val="lightGray"/>
        </w:rPr>
      </w:pPr>
      <w:r>
        <w:rPr>
          <w:rFonts w:ascii="Times New Roman" w:hAnsi="Times New Roman"/>
          <w:sz w:val="22"/>
          <w:szCs w:val="22"/>
        </w:rPr>
        <w:t>31.2.</w:t>
      </w:r>
      <w:r>
        <w:rPr>
          <w:rFonts w:ascii="Times New Roman" w:hAnsi="Times New Roman"/>
          <w:sz w:val="22"/>
          <w:szCs w:val="22"/>
        </w:rPr>
        <w:tab/>
      </w:r>
      <w:r>
        <w:rPr>
          <w:rFonts w:ascii="Times New Roman" w:hAnsi="Times New Roman"/>
          <w:sz w:val="22"/>
          <w:szCs w:val="22"/>
          <w:highlight w:val="lightGray"/>
        </w:rPr>
        <w:t>Par dérogation, le contractant peut demander, par notification adressée au gestionnaire du projet, l’établissement d’un certificat de réception provisoire lorsque les fournitures sont prêtes pour la réception provisoire. Dans un délai de 45 jours à compter de la réception de la demande du contractant, le gestionnaire du projet:</w:t>
      </w:r>
    </w:p>
    <w:p w14:paraId="090CA169" w14:textId="77777777" w:rsidR="00E219CD" w:rsidRPr="00F017DE" w:rsidRDefault="00E219CD" w:rsidP="00E219CD">
      <w:pPr>
        <w:widowControl w:val="0"/>
        <w:numPr>
          <w:ilvl w:val="0"/>
          <w:numId w:val="19"/>
        </w:numPr>
        <w:tabs>
          <w:tab w:val="left" w:pos="1560"/>
        </w:tabs>
        <w:spacing w:before="0" w:after="0"/>
        <w:ind w:left="1560"/>
        <w:jc w:val="both"/>
        <w:rPr>
          <w:rFonts w:ascii="Times New Roman" w:hAnsi="Times New Roman"/>
          <w:sz w:val="22"/>
          <w:szCs w:val="22"/>
          <w:highlight w:val="lightGray"/>
        </w:rPr>
      </w:pPr>
      <w:r>
        <w:rPr>
          <w:rFonts w:ascii="Times New Roman" w:hAnsi="Times New Roman"/>
          <w:sz w:val="22"/>
          <w:szCs w:val="22"/>
          <w:highlight w:val="lightGray"/>
        </w:rPr>
        <w:t>établit le certificat de réception provisoire à l’intention du contractant, avec copie au pouvoir adjudicateur, en indiquant, le cas échéant, ses réserves et notamment la date à laquelle, à son avis, les fournitures ont été achevées conformément au marché et étaient prêtes pour la réception provisoire; ou</w:t>
      </w:r>
    </w:p>
    <w:p w14:paraId="4498F9BC" w14:textId="77777777" w:rsidR="00E219CD" w:rsidRPr="00F017DE" w:rsidRDefault="00E219CD" w:rsidP="00E219CD">
      <w:pPr>
        <w:widowControl w:val="0"/>
        <w:numPr>
          <w:ilvl w:val="0"/>
          <w:numId w:val="19"/>
        </w:numPr>
        <w:tabs>
          <w:tab w:val="left" w:pos="1560"/>
        </w:tabs>
        <w:ind w:left="1560"/>
        <w:jc w:val="both"/>
        <w:rPr>
          <w:rFonts w:ascii="Times New Roman" w:hAnsi="Times New Roman"/>
          <w:sz w:val="22"/>
          <w:szCs w:val="22"/>
          <w:highlight w:val="lightGray"/>
        </w:rPr>
      </w:pPr>
      <w:r>
        <w:rPr>
          <w:rFonts w:ascii="Times New Roman" w:hAnsi="Times New Roman"/>
          <w:sz w:val="22"/>
          <w:szCs w:val="22"/>
          <w:highlight w:val="lightGray"/>
        </w:rPr>
        <w:t>rejette la demande en motivant sa décision et en spécifiant les mesures, qui, à son avis, doivent être prises par le contractant en vue de la délivrance du certificat.</w:t>
      </w:r>
    </w:p>
    <w:p w14:paraId="3BB1764E" w14:textId="77777777" w:rsidR="00240B1F" w:rsidRPr="003D6B6C" w:rsidRDefault="00240B1F" w:rsidP="00D82847">
      <w:pPr>
        <w:widowControl w:val="0"/>
        <w:tabs>
          <w:tab w:val="left" w:pos="1560"/>
        </w:tabs>
        <w:ind w:left="1200"/>
        <w:jc w:val="both"/>
        <w:rPr>
          <w:rFonts w:ascii="Times New Roman" w:hAnsi="Times New Roman"/>
          <w:sz w:val="22"/>
          <w:szCs w:val="22"/>
        </w:rPr>
      </w:pPr>
      <w:r>
        <w:rPr>
          <w:rFonts w:ascii="Times New Roman" w:hAnsi="Times New Roman"/>
          <w:sz w:val="22"/>
          <w:szCs w:val="22"/>
          <w:highlight w:val="lightGray"/>
        </w:rPr>
        <w:t>Le délai de délivrance du certificat de réception provisoire par le pouvoir adjudicateur au contractant n’est pas réputé inclus dans le délai de paiement indiqué à l’article 26, paragraphe 3.</w:t>
      </w:r>
      <w:r>
        <w:rPr>
          <w:rFonts w:ascii="Times New Roman" w:hAnsi="Times New Roman"/>
          <w:sz w:val="22"/>
          <w:szCs w:val="22"/>
        </w:rPr>
        <w:t>]</w:t>
      </w:r>
    </w:p>
    <w:p w14:paraId="221457C5" w14:textId="77777777" w:rsidR="007F5DDE" w:rsidRPr="003D6B6C" w:rsidRDefault="00554164" w:rsidP="0011156A">
      <w:pPr>
        <w:autoSpaceDE w:val="0"/>
        <w:autoSpaceDN w:val="0"/>
        <w:adjustRightInd w:val="0"/>
        <w:spacing w:before="0"/>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yellow"/>
        </w:rPr>
        <w:t>Marché financé par le FED uniquement:</w:t>
      </w:r>
      <w:r>
        <w:rPr>
          <w:rFonts w:ascii="Times New Roman" w:hAnsi="Times New Roman"/>
          <w:sz w:val="22"/>
          <w:szCs w:val="22"/>
        </w:rPr>
        <w:t xml:space="preserve"> </w:t>
      </w:r>
    </w:p>
    <w:p w14:paraId="0177D459" w14:textId="77777777" w:rsidR="00554164" w:rsidRPr="003D6B6C" w:rsidRDefault="007F5DDE" w:rsidP="00D82847">
      <w:pPr>
        <w:autoSpaceDE w:val="0"/>
        <w:autoSpaceDN w:val="0"/>
        <w:adjustRightInd w:val="0"/>
        <w:spacing w:before="0" w:after="0"/>
        <w:ind w:left="1200"/>
        <w:rPr>
          <w:rFonts w:ascii="Times New Roman" w:hAnsi="Times New Roman"/>
          <w:sz w:val="22"/>
          <w:szCs w:val="22"/>
        </w:rPr>
      </w:pPr>
      <w:r>
        <w:rPr>
          <w:rFonts w:ascii="Times New Roman" w:hAnsi="Times New Roman"/>
          <w:sz w:val="22"/>
          <w:szCs w:val="22"/>
          <w:highlight w:val="lightGray"/>
        </w:rPr>
        <w:t>Par dérogation à l’article 31, paragraphe 2, deuxième alinéa, le délai de délivrance du certificat de réception provisoire par le pouvoir adjudicateur au contractant n’est pas réputé inclus dans le délai de paiement indiqué à l’article 26, paragraphe 3.</w:t>
      </w:r>
      <w:r>
        <w:rPr>
          <w:rFonts w:ascii="Times New Roman" w:hAnsi="Times New Roman"/>
          <w:sz w:val="22"/>
          <w:szCs w:val="22"/>
        </w:rPr>
        <w:t>]</w:t>
      </w:r>
    </w:p>
    <w:p w14:paraId="6D19FB26" w14:textId="77777777" w:rsidR="0047783A" w:rsidRPr="003D6B6C" w:rsidRDefault="0047783A" w:rsidP="00B34179">
      <w:pPr>
        <w:spacing w:before="240"/>
        <w:ind w:left="1134" w:hanging="1134"/>
        <w:jc w:val="both"/>
        <w:rPr>
          <w:rFonts w:ascii="Times New Roman" w:hAnsi="Times New Roman"/>
          <w:b/>
          <w:sz w:val="24"/>
          <w:szCs w:val="24"/>
        </w:rPr>
      </w:pPr>
      <w:r>
        <w:rPr>
          <w:rFonts w:ascii="Times New Roman" w:hAnsi="Times New Roman"/>
          <w:b/>
          <w:sz w:val="24"/>
          <w:szCs w:val="24"/>
        </w:rPr>
        <w:t>Article 32</w:t>
      </w:r>
      <w:r>
        <w:rPr>
          <w:rFonts w:ascii="Times New Roman" w:hAnsi="Times New Roman"/>
          <w:b/>
          <w:sz w:val="24"/>
          <w:szCs w:val="24"/>
        </w:rPr>
        <w:tab/>
      </w:r>
      <w:bookmarkStart w:id="20" w:name="_Toc124934915"/>
      <w:r>
        <w:rPr>
          <w:rFonts w:ascii="Times New Roman" w:hAnsi="Times New Roman"/>
          <w:b/>
          <w:sz w:val="24"/>
          <w:szCs w:val="24"/>
        </w:rPr>
        <w:t>Obligations</w:t>
      </w:r>
      <w:bookmarkEnd w:id="20"/>
      <w:r>
        <w:rPr>
          <w:rFonts w:ascii="Times New Roman" w:hAnsi="Times New Roman"/>
          <w:b/>
          <w:sz w:val="24"/>
          <w:szCs w:val="24"/>
        </w:rPr>
        <w:t xml:space="preserve"> au titre de la garantie du produit</w:t>
      </w:r>
    </w:p>
    <w:p w14:paraId="18C4D014" w14:textId="77777777" w:rsidR="0047783A" w:rsidRPr="003D6B6C" w:rsidRDefault="00177A94" w:rsidP="006B145B">
      <w:pPr>
        <w:ind w:left="1134" w:hanging="708"/>
        <w:jc w:val="both"/>
        <w:rPr>
          <w:rFonts w:ascii="Times New Roman" w:hAnsi="Times New Roman"/>
          <w:sz w:val="22"/>
          <w:szCs w:val="22"/>
        </w:rPr>
      </w:pPr>
      <w:r>
        <w:rPr>
          <w:rFonts w:ascii="Times New Roman" w:hAnsi="Times New Roman"/>
          <w:sz w:val="22"/>
          <w:szCs w:val="22"/>
        </w:rPr>
        <w:t>32.6</w:t>
      </w:r>
      <w:r>
        <w:rPr>
          <w:rFonts w:ascii="Times New Roman" w:hAnsi="Times New Roman"/>
          <w:sz w:val="22"/>
          <w:szCs w:val="22"/>
        </w:rPr>
        <w:tab/>
        <w:t>&lt;</w:t>
      </w:r>
      <w:r>
        <w:rPr>
          <w:rFonts w:ascii="Times New Roman" w:hAnsi="Times New Roman"/>
          <w:sz w:val="22"/>
          <w:szCs w:val="22"/>
          <w:highlight w:val="yellow"/>
        </w:rPr>
        <w:t>Préciser toute obligation supplémentaire au titre de la garantie, par exemple, la garantie commerciale.</w:t>
      </w:r>
      <w:r>
        <w:rPr>
          <w:rFonts w:ascii="Times New Roman" w:hAnsi="Times New Roman"/>
          <w:sz w:val="22"/>
          <w:szCs w:val="22"/>
        </w:rPr>
        <w:t>&gt;</w:t>
      </w:r>
    </w:p>
    <w:p w14:paraId="516F443D" w14:textId="77777777" w:rsidR="00DF7EE0" w:rsidRPr="003D6B6C" w:rsidRDefault="00DF7EE0" w:rsidP="006B145B">
      <w:pPr>
        <w:ind w:left="1134" w:hanging="708"/>
        <w:jc w:val="both"/>
        <w:rPr>
          <w:rFonts w:ascii="Times New Roman" w:hAnsi="Times New Roman"/>
          <w:sz w:val="22"/>
          <w:szCs w:val="22"/>
        </w:rPr>
      </w:pPr>
      <w:r>
        <w:rPr>
          <w:rFonts w:ascii="Times New Roman" w:hAnsi="Times New Roman"/>
          <w:sz w:val="22"/>
          <w:szCs w:val="22"/>
        </w:rPr>
        <w:t>32.7</w:t>
      </w:r>
      <w:r>
        <w:rPr>
          <w:rFonts w:ascii="Times New Roman" w:hAnsi="Times New Roman"/>
          <w:sz w:val="22"/>
          <w:szCs w:val="22"/>
        </w:rPr>
        <w:tab/>
        <w:t>Cette garantie demeure valable pendant &lt;</w:t>
      </w:r>
      <w:r>
        <w:rPr>
          <w:rFonts w:ascii="Times New Roman" w:hAnsi="Times New Roman"/>
          <w:sz w:val="22"/>
          <w:szCs w:val="22"/>
          <w:highlight w:val="yellow"/>
        </w:rPr>
        <w:t>période à spécifier, maximum une année</w:t>
      </w:r>
      <w:r>
        <w:rPr>
          <w:rFonts w:ascii="Times New Roman" w:hAnsi="Times New Roman"/>
          <w:sz w:val="22"/>
          <w:szCs w:val="22"/>
        </w:rPr>
        <w:t>&gt; à compter de la réception provisoire.</w:t>
      </w:r>
    </w:p>
    <w:p w14:paraId="3499C21C" w14:textId="77777777" w:rsidR="0047783A" w:rsidRPr="003D6B6C" w:rsidRDefault="0047783A" w:rsidP="00B34179">
      <w:pPr>
        <w:spacing w:before="240"/>
        <w:ind w:left="1134" w:hanging="1134"/>
        <w:jc w:val="both"/>
        <w:rPr>
          <w:rFonts w:ascii="Times New Roman" w:hAnsi="Times New Roman"/>
          <w:b/>
          <w:sz w:val="24"/>
          <w:szCs w:val="24"/>
        </w:rPr>
      </w:pPr>
      <w:bookmarkStart w:id="21" w:name="_Toc119839451"/>
      <w:bookmarkStart w:id="22" w:name="_Toc124934916"/>
      <w:r>
        <w:rPr>
          <w:rFonts w:ascii="Times New Roman" w:hAnsi="Times New Roman"/>
          <w:b/>
          <w:sz w:val="24"/>
          <w:szCs w:val="24"/>
        </w:rPr>
        <w:t>Article 33</w:t>
      </w:r>
      <w:r>
        <w:rPr>
          <w:rFonts w:ascii="Times New Roman" w:hAnsi="Times New Roman"/>
          <w:b/>
          <w:sz w:val="24"/>
          <w:szCs w:val="24"/>
        </w:rPr>
        <w:tab/>
        <w:t>Service après-vente</w:t>
      </w:r>
      <w:bookmarkEnd w:id="21"/>
      <w:bookmarkEnd w:id="22"/>
    </w:p>
    <w:p w14:paraId="09B87FDF" w14:textId="77777777" w:rsidR="0047783A" w:rsidRPr="003D6B6C" w:rsidRDefault="00177A94" w:rsidP="006B145B">
      <w:pPr>
        <w:ind w:left="1134" w:hanging="708"/>
        <w:jc w:val="both"/>
        <w:rPr>
          <w:rFonts w:ascii="Times New Roman" w:hAnsi="Times New Roman"/>
          <w:sz w:val="22"/>
          <w:szCs w:val="22"/>
        </w:rPr>
      </w:pPr>
      <w:r>
        <w:rPr>
          <w:rFonts w:ascii="Times New Roman" w:hAnsi="Times New Roman"/>
          <w:sz w:val="22"/>
          <w:szCs w:val="22"/>
        </w:rPr>
        <w:t>33.1</w:t>
      </w:r>
      <w:r>
        <w:rPr>
          <w:rFonts w:ascii="Times New Roman" w:hAnsi="Times New Roman"/>
          <w:sz w:val="22"/>
          <w:szCs w:val="22"/>
        </w:rPr>
        <w:tab/>
        <w:t>&lt;</w:t>
      </w:r>
      <w:r>
        <w:rPr>
          <w:rFonts w:ascii="Times New Roman" w:hAnsi="Times New Roman"/>
          <w:sz w:val="22"/>
          <w:szCs w:val="22"/>
          <w:highlight w:val="yellow"/>
        </w:rPr>
        <w:t>Indiquer les coordonnées du service après-vente que le contractant doit fournir et préciser la proportion de la garantie de bonne exécution attribuée à cette activité</w:t>
      </w:r>
      <w:r>
        <w:rPr>
          <w:rFonts w:ascii="Times New Roman" w:hAnsi="Times New Roman"/>
          <w:sz w:val="22"/>
          <w:szCs w:val="22"/>
        </w:rPr>
        <w:t>&gt;</w:t>
      </w:r>
    </w:p>
    <w:p w14:paraId="060E3D5F" w14:textId="77777777" w:rsidR="0047783A" w:rsidRPr="003D6B6C" w:rsidRDefault="0047783A" w:rsidP="00B34179">
      <w:pPr>
        <w:spacing w:before="240"/>
        <w:ind w:left="1134" w:hanging="1134"/>
        <w:jc w:val="both"/>
        <w:rPr>
          <w:rFonts w:ascii="Times New Roman" w:hAnsi="Times New Roman"/>
          <w:b/>
          <w:sz w:val="24"/>
          <w:szCs w:val="24"/>
        </w:rPr>
      </w:pPr>
      <w:bookmarkStart w:id="23" w:name="_Toc124934917"/>
      <w:r>
        <w:rPr>
          <w:rFonts w:ascii="Times New Roman" w:hAnsi="Times New Roman"/>
          <w:b/>
          <w:sz w:val="24"/>
          <w:szCs w:val="24"/>
        </w:rPr>
        <w:t>Article 40</w:t>
      </w:r>
      <w:r>
        <w:rPr>
          <w:rFonts w:ascii="Times New Roman" w:hAnsi="Times New Roman"/>
          <w:b/>
          <w:sz w:val="24"/>
          <w:szCs w:val="24"/>
        </w:rPr>
        <w:tab/>
        <w:t>Règlement des différends</w:t>
      </w:r>
      <w:bookmarkEnd w:id="23"/>
    </w:p>
    <w:p w14:paraId="6B551131" w14:textId="77777777" w:rsidR="0047783A" w:rsidRPr="003D6B6C" w:rsidRDefault="0047783A" w:rsidP="00C73F87">
      <w:pPr>
        <w:ind w:left="1134"/>
        <w:rPr>
          <w:rFonts w:ascii="Times New Roman" w:hAnsi="Times New Roman"/>
          <w:sz w:val="22"/>
          <w:szCs w:val="22"/>
        </w:rPr>
      </w:pPr>
      <w:r>
        <w:rPr>
          <w:rFonts w:ascii="Times New Roman" w:hAnsi="Times New Roman"/>
          <w:sz w:val="22"/>
          <w:szCs w:val="22"/>
          <w:highlight w:val="yellow"/>
        </w:rPr>
        <w:t>En gestion directe:</w:t>
      </w:r>
    </w:p>
    <w:p w14:paraId="39818108" w14:textId="77777777" w:rsidR="0047783A" w:rsidRPr="003D6B6C" w:rsidRDefault="0047783A" w:rsidP="001B55AC">
      <w:pPr>
        <w:spacing w:before="0"/>
        <w:ind w:left="1134" w:hanging="708"/>
        <w:jc w:val="both"/>
        <w:rPr>
          <w:rFonts w:ascii="Times New Roman" w:hAnsi="Times New Roman"/>
          <w:sz w:val="22"/>
          <w:szCs w:val="22"/>
        </w:rPr>
      </w:pPr>
      <w:r>
        <w:rPr>
          <w:rFonts w:ascii="Times New Roman" w:hAnsi="Times New Roman"/>
          <w:sz w:val="22"/>
          <w:szCs w:val="22"/>
        </w:rPr>
        <w:t>40.4</w:t>
      </w:r>
      <w:r>
        <w:rPr>
          <w:rFonts w:ascii="Times New Roman" w:hAnsi="Times New Roman"/>
          <w:sz w:val="22"/>
          <w:szCs w:val="22"/>
        </w:rPr>
        <w:tab/>
        <w:t>[</w:t>
      </w:r>
      <w:r>
        <w:rPr>
          <w:rFonts w:ascii="Times New Roman" w:hAnsi="Times New Roman"/>
          <w:sz w:val="22"/>
          <w:szCs w:val="22"/>
          <w:highlight w:val="lightGray"/>
        </w:rPr>
        <w:t>Tout différend survenant dans l’exécution du présent marché et qui ne peut être réglé à l’amiable est de la compétence exclusive des tribunaux de Bruxelles (Belgique).</w:t>
      </w:r>
      <w:r>
        <w:rPr>
          <w:rFonts w:ascii="Times New Roman" w:hAnsi="Times New Roman"/>
          <w:sz w:val="22"/>
          <w:szCs w:val="22"/>
        </w:rPr>
        <w:t>]</w:t>
      </w:r>
    </w:p>
    <w:p w14:paraId="383FF00A" w14:textId="77777777" w:rsidR="0047783A" w:rsidRPr="003D6B6C" w:rsidRDefault="0047783A" w:rsidP="001B55AC">
      <w:pPr>
        <w:spacing w:before="0"/>
        <w:ind w:left="1134"/>
        <w:jc w:val="both"/>
        <w:rPr>
          <w:rFonts w:ascii="Times New Roman" w:hAnsi="Times New Roman"/>
          <w:sz w:val="22"/>
          <w:szCs w:val="22"/>
          <w:highlight w:val="yellow"/>
        </w:rPr>
      </w:pPr>
      <w:r>
        <w:rPr>
          <w:rFonts w:ascii="Times New Roman" w:hAnsi="Times New Roman"/>
          <w:sz w:val="22"/>
          <w:szCs w:val="22"/>
          <w:highlight w:val="yellow"/>
        </w:rPr>
        <w:t>En gestion indirecte:</w:t>
      </w:r>
    </w:p>
    <w:p w14:paraId="07E88B33" w14:textId="77777777" w:rsidR="0047783A" w:rsidRPr="003D6B6C" w:rsidRDefault="00216ADC" w:rsidP="001B55AC">
      <w:pPr>
        <w:spacing w:before="0"/>
        <w:ind w:left="1134"/>
        <w:jc w:val="both"/>
        <w:rPr>
          <w:rFonts w:ascii="Times New Roman" w:hAnsi="Times New Roman"/>
          <w:sz w:val="22"/>
          <w:szCs w:val="22"/>
          <w:highlight w:val="yellow"/>
        </w:rPr>
      </w:pPr>
      <w:r>
        <w:rPr>
          <w:rFonts w:ascii="Times New Roman" w:hAnsi="Times New Roman"/>
          <w:sz w:val="22"/>
          <w:szCs w:val="22"/>
          <w:highlight w:val="yellow"/>
        </w:rPr>
        <w:t>Budget général de l’Union:</w:t>
      </w:r>
    </w:p>
    <w:p w14:paraId="7F30D5A7" w14:textId="77777777" w:rsidR="0047783A" w:rsidRPr="003D6B6C" w:rsidRDefault="0047783A" w:rsidP="001B55AC">
      <w:pPr>
        <w:ind w:left="1134"/>
        <w:jc w:val="both"/>
        <w:rPr>
          <w:rFonts w:ascii="Times New Roman" w:hAnsi="Times New Roman"/>
          <w:sz w:val="22"/>
          <w:szCs w:val="22"/>
        </w:rPr>
      </w:pPr>
      <w:r>
        <w:rPr>
          <w:rFonts w:ascii="Times New Roman" w:hAnsi="Times New Roman"/>
          <w:sz w:val="22"/>
          <w:szCs w:val="22"/>
          <w:highlight w:val="yellow"/>
        </w:rPr>
        <w:t>SOIT</w:t>
      </w:r>
    </w:p>
    <w:p w14:paraId="0F81555E" w14:textId="77777777" w:rsidR="0047783A" w:rsidRPr="003D6B6C" w:rsidRDefault="0047783A" w:rsidP="001B55AC">
      <w:pPr>
        <w:ind w:left="1134" w:hanging="708"/>
        <w:jc w:val="both"/>
        <w:rPr>
          <w:rFonts w:ascii="Times New Roman" w:hAnsi="Times New Roman"/>
          <w:sz w:val="22"/>
          <w:szCs w:val="22"/>
        </w:rPr>
      </w:pPr>
      <w:r>
        <w:rPr>
          <w:rFonts w:ascii="Times New Roman" w:hAnsi="Times New Roman"/>
          <w:sz w:val="22"/>
          <w:szCs w:val="22"/>
        </w:rPr>
        <w:t>40.4</w:t>
      </w:r>
      <w:r>
        <w:rPr>
          <w:rFonts w:ascii="Times New Roman" w:hAnsi="Times New Roman"/>
          <w:sz w:val="22"/>
          <w:szCs w:val="22"/>
        </w:rPr>
        <w:tab/>
        <w:t>[</w:t>
      </w:r>
      <w:r>
        <w:rPr>
          <w:rFonts w:ascii="Times New Roman" w:hAnsi="Times New Roman"/>
          <w:sz w:val="22"/>
          <w:szCs w:val="22"/>
          <w:highlight w:val="lightGray"/>
        </w:rPr>
        <w:t>Tout différend survenant dans l’exécution du présent marché et qui ne peut être réglé d’une autre manière est de la compétence exclusive de &lt;</w:t>
      </w:r>
      <w:r>
        <w:rPr>
          <w:rFonts w:ascii="Times New Roman" w:hAnsi="Times New Roman"/>
          <w:sz w:val="22"/>
          <w:szCs w:val="22"/>
          <w:highlight w:val="yellow"/>
        </w:rPr>
        <w:t>préciser</w:t>
      </w:r>
      <w:r>
        <w:rPr>
          <w:rFonts w:ascii="Times New Roman" w:hAnsi="Times New Roman"/>
          <w:sz w:val="22"/>
          <w:szCs w:val="22"/>
          <w:highlight w:val="lightGray"/>
        </w:rPr>
        <w:t>&gt; conformément à la législation nationale de l’État du pouvoir adjudicateur.</w:t>
      </w:r>
      <w:r>
        <w:rPr>
          <w:rFonts w:ascii="Times New Roman" w:hAnsi="Times New Roman"/>
          <w:sz w:val="22"/>
          <w:szCs w:val="22"/>
        </w:rPr>
        <w:t>]</w:t>
      </w:r>
    </w:p>
    <w:p w14:paraId="6FB4A7A0" w14:textId="77777777" w:rsidR="0047783A" w:rsidRPr="003D6B6C" w:rsidRDefault="0047783A" w:rsidP="001B55AC">
      <w:pPr>
        <w:ind w:left="1134"/>
        <w:jc w:val="both"/>
        <w:rPr>
          <w:rFonts w:ascii="Times New Roman" w:hAnsi="Times New Roman"/>
          <w:sz w:val="22"/>
          <w:szCs w:val="22"/>
        </w:rPr>
      </w:pPr>
      <w:r>
        <w:rPr>
          <w:rFonts w:ascii="Times New Roman" w:hAnsi="Times New Roman"/>
          <w:sz w:val="22"/>
          <w:szCs w:val="22"/>
          <w:highlight w:val="yellow"/>
        </w:rPr>
        <w:t>SOIT</w:t>
      </w:r>
    </w:p>
    <w:p w14:paraId="008F92F9" w14:textId="77777777" w:rsidR="0047783A" w:rsidRPr="003D6B6C" w:rsidRDefault="0047783A" w:rsidP="001B55AC">
      <w:pPr>
        <w:ind w:left="1134" w:hanging="708"/>
        <w:jc w:val="both"/>
        <w:rPr>
          <w:rFonts w:ascii="Times New Roman" w:hAnsi="Times New Roman"/>
          <w:sz w:val="22"/>
          <w:szCs w:val="22"/>
        </w:rPr>
      </w:pPr>
      <w:r>
        <w:rPr>
          <w:rFonts w:ascii="Times New Roman" w:hAnsi="Times New Roman"/>
          <w:sz w:val="22"/>
          <w:szCs w:val="22"/>
        </w:rPr>
        <w:t>40.4</w:t>
      </w:r>
      <w:r>
        <w:rPr>
          <w:rFonts w:ascii="Times New Roman" w:hAnsi="Times New Roman"/>
          <w:sz w:val="22"/>
          <w:szCs w:val="22"/>
        </w:rPr>
        <w:tab/>
        <w:t>[</w:t>
      </w:r>
      <w:r>
        <w:rPr>
          <w:rFonts w:ascii="Times New Roman" w:hAnsi="Times New Roman"/>
          <w:sz w:val="22"/>
          <w:szCs w:val="22"/>
          <w:highlight w:val="lightGray"/>
        </w:rPr>
        <w:t>Tout litige entre les parties résultant du marché ou ayant un lien avec le marché, qui ne peut pas être réglé autrement, sera soumis à l’arbitrage de &lt;</w:t>
      </w:r>
      <w:r>
        <w:rPr>
          <w:rFonts w:ascii="Times New Roman" w:hAnsi="Times New Roman"/>
          <w:sz w:val="22"/>
          <w:szCs w:val="22"/>
          <w:highlight w:val="yellow"/>
        </w:rPr>
        <w:t>préciser l’organe d’arbitrage</w:t>
      </w:r>
      <w:r>
        <w:rPr>
          <w:rFonts w:ascii="Times New Roman" w:hAnsi="Times New Roman"/>
          <w:sz w:val="22"/>
          <w:szCs w:val="22"/>
          <w:highlight w:val="lightGray"/>
        </w:rPr>
        <w:t xml:space="preserve">&gt; conformément aux règles d’arbitrage de [la Chambre de Commerce internationale] [la Commission des Nations unies pour le droit commercial international] [&lt; </w:t>
      </w:r>
      <w:r>
        <w:rPr>
          <w:rFonts w:ascii="Times New Roman" w:hAnsi="Times New Roman"/>
          <w:sz w:val="22"/>
          <w:szCs w:val="22"/>
          <w:highlight w:val="yellow"/>
        </w:rPr>
        <w:t>toute autre procédure d’arbitrage internationalement reconnue</w:t>
      </w:r>
      <w:r>
        <w:rPr>
          <w:rFonts w:ascii="Times New Roman" w:hAnsi="Times New Roman"/>
          <w:sz w:val="22"/>
          <w:szCs w:val="22"/>
          <w:highlight w:val="lightGray"/>
        </w:rPr>
        <w:t>&gt;].]</w:t>
      </w:r>
    </w:p>
    <w:p w14:paraId="1F061906" w14:textId="77777777" w:rsidR="0047783A" w:rsidRPr="003D6B6C" w:rsidRDefault="0047783A" w:rsidP="001B55AC">
      <w:pPr>
        <w:pStyle w:val="Title"/>
        <w:ind w:left="1134"/>
        <w:jc w:val="both"/>
        <w:rPr>
          <w:rFonts w:ascii="Times New Roman" w:hAnsi="Times New Roman"/>
          <w:b w:val="0"/>
          <w:bCs/>
          <w:smallCaps/>
          <w:sz w:val="22"/>
          <w:szCs w:val="22"/>
          <w:highlight w:val="yellow"/>
        </w:rPr>
      </w:pPr>
      <w:r>
        <w:rPr>
          <w:rFonts w:ascii="Times New Roman" w:hAnsi="Times New Roman"/>
          <w:b w:val="0"/>
          <w:bCs/>
          <w:sz w:val="22"/>
          <w:szCs w:val="22"/>
          <w:highlight w:val="yellow"/>
        </w:rPr>
        <w:t>[FED:</w:t>
      </w:r>
    </w:p>
    <w:p w14:paraId="47FAC85B" w14:textId="77777777" w:rsidR="0047783A" w:rsidRPr="003D6B6C" w:rsidRDefault="0047783A" w:rsidP="001B55AC">
      <w:pPr>
        <w:tabs>
          <w:tab w:val="left" w:pos="1417"/>
          <w:tab w:val="left" w:pos="2126"/>
          <w:tab w:val="left" w:pos="2835"/>
        </w:tabs>
        <w:ind w:left="1134"/>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lightGray"/>
        </w:rPr>
        <w:t>Tout litige entre les parties résultant du marché ou ayant un lien avec le marché, qui ne peut être réglé autrement:</w:t>
      </w:r>
    </w:p>
    <w:p w14:paraId="7AE533D8" w14:textId="77777777" w:rsidR="0047783A" w:rsidRPr="00F017DE" w:rsidRDefault="001B55AC" w:rsidP="001B55AC">
      <w:pPr>
        <w:ind w:left="1560" w:hanging="426"/>
        <w:rPr>
          <w:rFonts w:ascii="Times New Roman" w:hAnsi="Times New Roman"/>
          <w:sz w:val="22"/>
          <w:szCs w:val="22"/>
          <w:highlight w:val="lightGray"/>
        </w:rPr>
      </w:pPr>
      <w:r>
        <w:rPr>
          <w:rFonts w:ascii="Times New Roman" w:hAnsi="Times New Roman"/>
          <w:sz w:val="22"/>
          <w:szCs w:val="22"/>
        </w:rPr>
        <w:t>a)</w:t>
      </w:r>
      <w:r>
        <w:rPr>
          <w:rFonts w:ascii="Times New Roman" w:hAnsi="Times New Roman"/>
          <w:sz w:val="22"/>
          <w:szCs w:val="22"/>
        </w:rPr>
        <w:tab/>
      </w:r>
      <w:r>
        <w:rPr>
          <w:rFonts w:ascii="Times New Roman" w:hAnsi="Times New Roman"/>
          <w:sz w:val="22"/>
          <w:szCs w:val="22"/>
          <w:highlight w:val="lightGray"/>
        </w:rPr>
        <w:t>en cas de marché national, sera réglé conformément à la législation nationale de l’État du pouvoir adjudicateur; et</w:t>
      </w:r>
    </w:p>
    <w:p w14:paraId="4602D377" w14:textId="77777777" w:rsidR="0047783A" w:rsidRPr="00F017DE" w:rsidRDefault="0047783A" w:rsidP="001B55AC">
      <w:pPr>
        <w:ind w:left="1560" w:hanging="426"/>
        <w:rPr>
          <w:rFonts w:ascii="Times New Roman" w:hAnsi="Times New Roman"/>
          <w:sz w:val="22"/>
          <w:szCs w:val="22"/>
          <w:highlight w:val="lightGray"/>
        </w:rPr>
      </w:pPr>
      <w:r>
        <w:rPr>
          <w:rFonts w:ascii="Times New Roman" w:hAnsi="Times New Roman"/>
          <w:sz w:val="22"/>
          <w:szCs w:val="22"/>
          <w:highlight w:val="lightGray"/>
        </w:rPr>
        <w:t>b)</w:t>
      </w:r>
      <w:r>
        <w:rPr>
          <w:rFonts w:ascii="Times New Roman" w:hAnsi="Times New Roman"/>
          <w:sz w:val="22"/>
          <w:szCs w:val="22"/>
          <w:highlight w:val="lightGray"/>
        </w:rPr>
        <w:tab/>
        <w:t>en cas de marché transnational, sera réglé soit:</w:t>
      </w:r>
    </w:p>
    <w:p w14:paraId="75774894" w14:textId="77777777" w:rsidR="0047783A" w:rsidRPr="00F017DE" w:rsidRDefault="0047783A" w:rsidP="001B55AC">
      <w:pPr>
        <w:tabs>
          <w:tab w:val="left" w:pos="2835"/>
        </w:tabs>
        <w:ind w:left="1985" w:hanging="425"/>
        <w:rPr>
          <w:rFonts w:ascii="Times New Roman" w:hAnsi="Times New Roman"/>
          <w:sz w:val="22"/>
          <w:szCs w:val="22"/>
          <w:highlight w:val="lightGray"/>
        </w:rPr>
      </w:pPr>
      <w:r>
        <w:rPr>
          <w:rFonts w:ascii="Times New Roman" w:hAnsi="Times New Roman"/>
          <w:sz w:val="22"/>
          <w:szCs w:val="22"/>
          <w:highlight w:val="lightGray"/>
        </w:rPr>
        <w:t>i)</w:t>
      </w:r>
      <w:r>
        <w:rPr>
          <w:rFonts w:ascii="Times New Roman" w:hAnsi="Times New Roman"/>
          <w:sz w:val="22"/>
          <w:szCs w:val="22"/>
          <w:highlight w:val="lightGray"/>
        </w:rPr>
        <w:tab/>
        <w:t>si les parties contractantes sont d’accord à cet égard, conformément à la législation nationale de l’État du pouvoir adjudicateur ou de ses pratiques internationales établies; ou</w:t>
      </w:r>
    </w:p>
    <w:p w14:paraId="7C28597C" w14:textId="77777777" w:rsidR="0038357E" w:rsidRPr="003D6B6C" w:rsidRDefault="0047783A" w:rsidP="0038357E">
      <w:pPr>
        <w:autoSpaceDE w:val="0"/>
        <w:autoSpaceDN w:val="0"/>
        <w:adjustRightInd w:val="0"/>
        <w:ind w:left="1985" w:hanging="425"/>
        <w:jc w:val="both"/>
        <w:rPr>
          <w:rFonts w:ascii="Times New Roman" w:hAnsi="Times New Roman"/>
          <w:sz w:val="22"/>
          <w:szCs w:val="22"/>
        </w:rPr>
      </w:pPr>
      <w:r>
        <w:rPr>
          <w:rFonts w:ascii="Times New Roman" w:hAnsi="Times New Roman"/>
          <w:sz w:val="22"/>
          <w:szCs w:val="22"/>
          <w:highlight w:val="lightGray"/>
        </w:rPr>
        <w:t>ii)</w:t>
      </w:r>
      <w:r>
        <w:rPr>
          <w:rFonts w:ascii="Times New Roman" w:hAnsi="Times New Roman"/>
          <w:sz w:val="22"/>
          <w:szCs w:val="22"/>
          <w:highlight w:val="lightGray"/>
        </w:rPr>
        <w:tab/>
        <w:t xml:space="preserve">par arbitrage conformément au règlement de procédure de conciliation et d’arbitrage pour les marchés financés par le Fonds européen de développement, adopté par la décision nº 3/90 du Conseil des ministres ACP-CE du 29 mars 1990 (JO L 382 du 31.12.1990. Voir annexe a12 du Guide pratique) </w:t>
      </w:r>
      <w:r>
        <w:rPr>
          <w:rFonts w:ascii="Times New Roman" w:hAnsi="Times New Roman"/>
          <w:sz w:val="22"/>
          <w:szCs w:val="22"/>
          <w:highlight w:val="yellow"/>
        </w:rPr>
        <w:t>Joindre l’annexe A12 du Guide pratique au présent marché</w:t>
      </w:r>
      <w:r>
        <w:rPr>
          <w:rFonts w:ascii="Times New Roman" w:hAnsi="Times New Roman"/>
          <w:sz w:val="22"/>
          <w:szCs w:val="22"/>
          <w:highlight w:val="lightGray"/>
        </w:rPr>
        <w:t>.</w:t>
      </w:r>
      <w:r>
        <w:rPr>
          <w:rFonts w:ascii="Times New Roman" w:hAnsi="Times New Roman"/>
          <w:sz w:val="22"/>
          <w:szCs w:val="22"/>
        </w:rPr>
        <w:t>]</w:t>
      </w:r>
    </w:p>
    <w:p w14:paraId="32FDF6D7" w14:textId="77777777" w:rsidR="00407C90" w:rsidRPr="003D6B6C" w:rsidRDefault="00407C90" w:rsidP="00407C90">
      <w:pPr>
        <w:ind w:left="567" w:hanging="567"/>
        <w:rPr>
          <w:rFonts w:ascii="Times New Roman" w:hAnsi="Times New Roman"/>
          <w:sz w:val="22"/>
          <w:szCs w:val="22"/>
          <w:highlight w:val="yellow"/>
        </w:rPr>
      </w:pPr>
    </w:p>
    <w:p w14:paraId="53F35545" w14:textId="77777777" w:rsidR="00407C90" w:rsidRPr="00F017DE" w:rsidRDefault="00407C90" w:rsidP="00407C90">
      <w:pPr>
        <w:keepNext/>
        <w:keepLines/>
        <w:tabs>
          <w:tab w:val="left" w:pos="1134"/>
        </w:tabs>
        <w:spacing w:before="240"/>
        <w:ind w:left="1134" w:hanging="1134"/>
        <w:rPr>
          <w:rFonts w:ascii="Times New Roman" w:hAnsi="Times New Roman"/>
          <w:b/>
          <w:sz w:val="24"/>
          <w:szCs w:val="24"/>
          <w:highlight w:val="lightGray"/>
        </w:rPr>
      </w:pPr>
      <w:r>
        <w:rPr>
          <w:rFonts w:ascii="Times New Roman" w:hAnsi="Times New Roman"/>
          <w:b/>
          <w:sz w:val="24"/>
          <w:szCs w:val="24"/>
          <w:highlight w:val="lightGray"/>
        </w:rPr>
        <w:t>Article 44</w:t>
      </w:r>
      <w:r>
        <w:rPr>
          <w:rFonts w:ascii="Times New Roman" w:hAnsi="Times New Roman"/>
          <w:b/>
          <w:sz w:val="24"/>
          <w:szCs w:val="24"/>
          <w:highlight w:val="lightGray"/>
        </w:rPr>
        <w:tab/>
        <w:t>Protection des données</w:t>
      </w:r>
    </w:p>
    <w:p w14:paraId="391B16A0" w14:textId="77777777" w:rsidR="009F7E6A" w:rsidRDefault="009F7E6A" w:rsidP="009F7E6A">
      <w:pPr>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yellow"/>
        </w:rPr>
        <w:t>Le texte suivant est à insérer en cas de gestion indirecte</w:t>
      </w:r>
      <w:r>
        <w:rPr>
          <w:rFonts w:ascii="Times New Roman" w:hAnsi="Times New Roman"/>
        </w:rPr>
        <w:t>]</w:t>
      </w:r>
      <w:r>
        <w:rPr>
          <w:rFonts w:ascii="Times New Roman" w:hAnsi="Times New Roman"/>
          <w:sz w:val="22"/>
          <w:szCs w:val="22"/>
          <w:highlight w:val="yellow"/>
        </w:rPr>
        <w:t xml:space="preserve"> </w:t>
      </w:r>
    </w:p>
    <w:p w14:paraId="5F3FDACE" w14:textId="77777777" w:rsidR="009F7E6A" w:rsidRPr="00F4288C" w:rsidRDefault="009F7E6A" w:rsidP="009F7E6A">
      <w:pPr>
        <w:jc w:val="both"/>
        <w:rPr>
          <w:rFonts w:ascii="Times New Roman" w:hAnsi="Times New Roman"/>
          <w:sz w:val="22"/>
          <w:szCs w:val="22"/>
          <w:highlight w:val="lightGray"/>
        </w:rPr>
      </w:pPr>
      <w:r>
        <w:rPr>
          <w:rFonts w:ascii="Times New Roman" w:hAnsi="Times New Roman"/>
          <w:sz w:val="22"/>
          <w:szCs w:val="22"/>
        </w:rPr>
        <w:t>[</w:t>
      </w:r>
      <w:r>
        <w:rPr>
          <w:rFonts w:ascii="Times New Roman" w:hAnsi="Times New Roman"/>
          <w:sz w:val="22"/>
          <w:szCs w:val="22"/>
          <w:highlight w:val="lightGray"/>
        </w:rPr>
        <w:t>1. Le traitement des données à caractère personnel liées à l’exécution du marché par le pouvoir adjudicateur se déroule conformément à la législation nationale de l’État du pouvoir adjudicateur et aux dispositions de la convention de financement correspondante.</w:t>
      </w:r>
    </w:p>
    <w:p w14:paraId="2FB9F325" w14:textId="40321E5F" w:rsidR="009F7E6A" w:rsidRPr="00F4288C" w:rsidRDefault="009F7E6A" w:rsidP="009F7E6A">
      <w:pPr>
        <w:jc w:val="both"/>
        <w:rPr>
          <w:rFonts w:ascii="Times New Roman" w:hAnsi="Times New Roman"/>
          <w:sz w:val="22"/>
          <w:szCs w:val="22"/>
          <w:u w:val="single"/>
        </w:rPr>
      </w:pPr>
      <w:r>
        <w:rPr>
          <w:rFonts w:ascii="Times New Roman" w:hAnsi="Times New Roman"/>
          <w:sz w:val="22"/>
          <w:szCs w:val="22"/>
          <w:highlight w:val="lightGray"/>
        </w:rPr>
        <w:t>2. Dans la mesure où le marché couvre une action financée par l’Union européenne, le pouvoir adjudicateur peut partager avec la Commission européenne les communications relatives à l’exécution du marché. Ces échanges sont faits à la Commission, uniquement dans le but de permettre à cette dernière d’exercer ses droits et obligations en vertu du cadre législatif applicable et de la convention de financement avec le pays partenaire - le pouvoir adjudicateur. Les échanges peuvent impliquer des transferts de données à caractère personnel (telles que les noms, les coordonnées, les signatures et les CV) de personnes physiques participant à l’exécution du marché (telles que les contractants, le personnel, les experts, les stagiaires, les sous-traitants, les assureurs, les garants, les auditeurs et les conseillers juridiques). Dans les cas où le contractant traite des données à caractère personnel dans le cadre de l’exécution du marché, il informe en conséquence les personnes concernées de la transmission éventuelle de leurs données à la Commission. Toute donnée à caractère personnel transmise à la Commission sera traitée par cette dernière conformément aux dispositions du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r w:rsidRPr="00F4288C">
        <w:rPr>
          <w:rStyle w:val="FootnoteReference"/>
          <w:rFonts w:ascii="Times New Roman" w:hAnsi="Times New Roman"/>
          <w:sz w:val="22"/>
          <w:szCs w:val="22"/>
          <w:highlight w:val="lightGray"/>
        </w:rPr>
        <w:footnoteReference w:id="4"/>
      </w:r>
      <w:r>
        <w:rPr>
          <w:rFonts w:ascii="Times New Roman" w:hAnsi="Times New Roman"/>
          <w:sz w:val="22"/>
          <w:szCs w:val="22"/>
          <w:highlight w:val="lightGray"/>
        </w:rPr>
        <w:t>, et comme détaillé dans la déclaration relative à la protection de la vie privée disponible dans ePRAG.</w:t>
      </w:r>
      <w:r>
        <w:rPr>
          <w:rFonts w:ascii="Times New Roman" w:hAnsi="Times New Roman"/>
          <w:sz w:val="22"/>
          <w:szCs w:val="22"/>
        </w:rPr>
        <w:t>]</w:t>
      </w:r>
    </w:p>
    <w:p w14:paraId="0BB191E9" w14:textId="77777777" w:rsidR="00B605B6" w:rsidRPr="003D6B6C" w:rsidRDefault="009F7E6A" w:rsidP="00872DA7">
      <w:pPr>
        <w:pStyle w:val="ListNumber"/>
        <w:numPr>
          <w:ilvl w:val="0"/>
          <w:numId w:val="0"/>
        </w:numPr>
        <w:spacing w:before="240"/>
        <w:ind w:left="1134" w:hanging="1134"/>
        <w:rPr>
          <w:b/>
          <w:szCs w:val="24"/>
        </w:rPr>
      </w:pPr>
      <w:r>
        <w:rPr>
          <w:sz w:val="22"/>
          <w:szCs w:val="22"/>
          <w:highlight w:val="yellow"/>
        </w:rPr>
        <w:t xml:space="preserve"> </w:t>
      </w:r>
      <w:r>
        <w:rPr>
          <w:b/>
          <w:szCs w:val="24"/>
        </w:rPr>
        <w:t>Article 45</w:t>
      </w:r>
      <w:r>
        <w:rPr>
          <w:b/>
          <w:szCs w:val="24"/>
          <w:highlight w:val="lightGray"/>
        </w:rPr>
        <w:tab/>
      </w:r>
      <w:r>
        <w:rPr>
          <w:b/>
          <w:szCs w:val="24"/>
          <w:highlight w:val="yellow"/>
        </w:rPr>
        <w:t>Autres clauses supplémentaires</w:t>
      </w:r>
    </w:p>
    <w:p w14:paraId="3637455A" w14:textId="77777777" w:rsidR="00B605B6" w:rsidRDefault="00B605B6" w:rsidP="0011156A">
      <w:pPr>
        <w:pStyle w:val="ListNumber"/>
        <w:numPr>
          <w:ilvl w:val="0"/>
          <w:numId w:val="0"/>
        </w:numPr>
        <w:rPr>
          <w:sz w:val="22"/>
          <w:szCs w:val="22"/>
        </w:rPr>
      </w:pPr>
      <w:r>
        <w:rPr>
          <w:sz w:val="22"/>
          <w:szCs w:val="22"/>
          <w:highlight w:val="yellow"/>
        </w:rPr>
        <w:t>&lt;Ajouter les dispositions approuvées par les services compétents de la Commission européenne&gt;</w:t>
      </w:r>
      <w:r>
        <w:rPr>
          <w:sz w:val="22"/>
          <w:szCs w:val="22"/>
        </w:rPr>
        <w:t xml:space="preserve"> </w:t>
      </w:r>
    </w:p>
    <w:p w14:paraId="016C5FE5" w14:textId="77777777" w:rsidR="001B55AC" w:rsidRPr="003D6B6C" w:rsidRDefault="001B55AC" w:rsidP="001B55AC">
      <w:pPr>
        <w:pStyle w:val="ListNumber"/>
        <w:numPr>
          <w:ilvl w:val="0"/>
          <w:numId w:val="0"/>
        </w:numPr>
        <w:spacing w:before="360" w:after="100" w:afterAutospacing="1"/>
        <w:ind w:left="1984" w:hanging="425"/>
        <w:jc w:val="center"/>
        <w:rPr>
          <w:sz w:val="22"/>
          <w:szCs w:val="22"/>
        </w:rPr>
      </w:pPr>
      <w:r>
        <w:rPr>
          <w:sz w:val="22"/>
          <w:szCs w:val="22"/>
        </w:rPr>
        <w:t>* * *</w:t>
      </w:r>
    </w:p>
    <w:sectPr w:rsidR="001B55AC" w:rsidRPr="003D6B6C" w:rsidSect="003D6B6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62C48" w14:textId="77777777" w:rsidR="00F215D8" w:rsidRPr="006A5F84" w:rsidRDefault="00F215D8">
      <w:r w:rsidRPr="006A5F84">
        <w:separator/>
      </w:r>
    </w:p>
  </w:endnote>
  <w:endnote w:type="continuationSeparator" w:id="0">
    <w:p w14:paraId="568A3100" w14:textId="77777777" w:rsidR="00F215D8" w:rsidRPr="006A5F84" w:rsidRDefault="00F215D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2995" w14:textId="66572F18" w:rsidR="007E36E3" w:rsidRPr="00FE689C" w:rsidRDefault="00CA1E77" w:rsidP="007E36E3">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2021</w:t>
    </w:r>
    <w:r w:rsidR="00283061">
      <w:rPr>
        <w:rFonts w:ascii="Times New Roman" w:hAnsi="Times New Roman"/>
        <w:b/>
        <w:sz w:val="18"/>
      </w:rPr>
      <w:t>.1</w:t>
    </w:r>
    <w:r>
      <w:rPr>
        <w:rFonts w:ascii="Times New Roman" w:hAnsi="Times New Roman"/>
        <w:sz w:val="18"/>
        <w:szCs w:val="18"/>
      </w:rPr>
      <w:tab/>
    </w:r>
    <w:r>
      <w:rPr>
        <w:rStyle w:val="PageNumber"/>
        <w:rFonts w:ascii="Times New Roman" w:hAnsi="Times New Roman"/>
        <w:sz w:val="18"/>
        <w:szCs w:val="18"/>
      </w:rPr>
      <w:t>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rPr>
      <w:instrText xml:space="preserve"> PAGE </w:instrText>
    </w:r>
    <w:r w:rsidR="007E36E3" w:rsidRPr="009423FB">
      <w:rPr>
        <w:rStyle w:val="PageNumber"/>
        <w:rFonts w:ascii="Times New Roman" w:hAnsi="Times New Roman"/>
        <w:sz w:val="18"/>
        <w:szCs w:val="18"/>
      </w:rPr>
      <w:fldChar w:fldCharType="separate"/>
    </w:r>
    <w:r w:rsidR="00D76E8A">
      <w:rPr>
        <w:rStyle w:val="PageNumber"/>
        <w:rFonts w:ascii="Times New Roman" w:hAnsi="Times New Roman"/>
        <w:noProof/>
        <w:sz w:val="18"/>
        <w:szCs w:val="18"/>
      </w:rPr>
      <w:t>1</w:t>
    </w:r>
    <w:r w:rsidR="007E36E3" w:rsidRPr="009423FB">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rPr>
      <w:instrText xml:space="preserve"> NUMPAGES </w:instrText>
    </w:r>
    <w:r w:rsidR="007E36E3" w:rsidRPr="009423FB">
      <w:rPr>
        <w:rStyle w:val="PageNumber"/>
        <w:rFonts w:ascii="Times New Roman" w:hAnsi="Times New Roman"/>
        <w:sz w:val="18"/>
        <w:szCs w:val="18"/>
      </w:rPr>
      <w:fldChar w:fldCharType="separate"/>
    </w:r>
    <w:r w:rsidR="00D76E8A">
      <w:rPr>
        <w:rStyle w:val="PageNumber"/>
        <w:rFonts w:ascii="Times New Roman" w:hAnsi="Times New Roman"/>
        <w:noProof/>
        <w:sz w:val="18"/>
        <w:szCs w:val="18"/>
      </w:rPr>
      <w:t>6</w:t>
    </w:r>
    <w:r w:rsidR="007E36E3" w:rsidRPr="009423FB">
      <w:rPr>
        <w:rStyle w:val="PageNumber"/>
        <w:rFonts w:ascii="Times New Roman" w:hAnsi="Times New Roman"/>
        <w:sz w:val="18"/>
        <w:szCs w:val="18"/>
      </w:rPr>
      <w:fldChar w:fldCharType="end"/>
    </w:r>
  </w:p>
  <w:p w14:paraId="32214240" w14:textId="4EA9C25D"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026B04">
      <w:rPr>
        <w:rFonts w:ascii="Times New Roman" w:hAnsi="Times New Roman"/>
        <w:noProof/>
        <w:sz w:val="18"/>
        <w:szCs w:val="18"/>
      </w:rPr>
      <w:t>c4d_specialconditions_fr.docx</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t>2006</w:t>
    </w:r>
    <w:r>
      <w:tab/>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EB9A" w14:textId="77777777" w:rsidR="00F215D8" w:rsidRPr="006A5F84" w:rsidRDefault="00F215D8">
      <w:r w:rsidRPr="006A5F84">
        <w:separator/>
      </w:r>
    </w:p>
  </w:footnote>
  <w:footnote w:type="continuationSeparator" w:id="0">
    <w:p w14:paraId="20BC7E0B" w14:textId="77777777" w:rsidR="00F215D8" w:rsidRPr="006A5F84" w:rsidRDefault="00F215D8">
      <w:r w:rsidRPr="006A5F84">
        <w:continuationSeparator/>
      </w:r>
    </w:p>
  </w:footnote>
  <w:footnote w:id="1">
    <w:p w14:paraId="473FAD69" w14:textId="65B982EE" w:rsidR="00297C14" w:rsidRPr="00C73F87" w:rsidRDefault="00297C14" w:rsidP="001020D9">
      <w:pPr>
        <w:pStyle w:val="FootnoteText"/>
      </w:pPr>
      <w:r>
        <w:rPr>
          <w:rStyle w:val="FootnoteReference"/>
        </w:rPr>
        <w:footnoteRef/>
      </w:r>
      <w:r>
        <w:t xml:space="preserve"> Voir:</w:t>
      </w:r>
      <w:hyperlink r:id="rId1" w:history="1">
        <w:r>
          <w:rPr>
            <w:rStyle w:val="Hyperlink"/>
          </w:rPr>
          <w:t>http://www.iccwbo.org/incoterms/</w:t>
        </w:r>
      </w:hyperlink>
    </w:p>
  </w:footnote>
  <w:footnote w:id="2">
    <w:p w14:paraId="70EC6637" w14:textId="77777777" w:rsidR="00297C14" w:rsidRPr="009F7E6A" w:rsidRDefault="00297C14" w:rsidP="001020D9">
      <w:pPr>
        <w:pStyle w:val="FootnoteText"/>
      </w:pPr>
      <w:r>
        <w:rPr>
          <w:rStyle w:val="FootnoteReference"/>
        </w:rPr>
        <w:footnoteRef/>
      </w:r>
      <w:r>
        <w:t xml:space="preserve"> Idem.</w:t>
      </w:r>
    </w:p>
  </w:footnote>
  <w:footnote w:id="3">
    <w:p w14:paraId="381A3A5A" w14:textId="77777777" w:rsidR="00F0405C" w:rsidRPr="009F7E6A" w:rsidRDefault="00F0405C" w:rsidP="00C73F87">
      <w:pPr>
        <w:pStyle w:val="FootnoteText"/>
        <w:rPr>
          <w:highlight w:val="yellow"/>
        </w:rPr>
      </w:pPr>
      <w:r>
        <w:rPr>
          <w:rStyle w:val="FootnoteReference"/>
        </w:rPr>
        <w:footnoteRef/>
      </w:r>
      <w:r>
        <w:t xml:space="preserve"> </w:t>
      </w:r>
      <w:r>
        <w:rPr>
          <w:highlight w:val="yellow"/>
        </w:rPr>
        <w:t>Une évaluation des risques est requise, par exemple, lorsqu’une entreprise se voit attribuer le marché sans satisfaire elle-même aux critères de sélection, mais qui fait appel à une autre société dotée des capacités demandées.</w:t>
      </w:r>
    </w:p>
  </w:footnote>
  <w:footnote w:id="4">
    <w:p w14:paraId="613D5799" w14:textId="77777777" w:rsidR="009F7E6A" w:rsidRDefault="009F7E6A" w:rsidP="009F7E6A">
      <w:pPr>
        <w:pStyle w:val="FootnoteText"/>
      </w:pPr>
      <w:r>
        <w:rPr>
          <w:rStyle w:val="FootnoteReference"/>
        </w:rPr>
        <w:footnoteRef/>
      </w:r>
      <w:r>
        <w:t xml:space="preserve"> JO L 205 du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41A5" w14:textId="77777777" w:rsidR="00CA1E77" w:rsidRDefault="00CA1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FD3B" w14:textId="77777777" w:rsidR="00CA1E77" w:rsidRDefault="00CA1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ED22" w14:textId="77777777" w:rsidR="00CA1E77" w:rsidRDefault="00CA1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6801"/>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07E4"/>
    <w:rsid w:val="000021E1"/>
    <w:rsid w:val="0000334D"/>
    <w:rsid w:val="00007C5B"/>
    <w:rsid w:val="00024A8F"/>
    <w:rsid w:val="00026B04"/>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2A48"/>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061"/>
    <w:rsid w:val="0028364A"/>
    <w:rsid w:val="00283AC4"/>
    <w:rsid w:val="00290561"/>
    <w:rsid w:val="00294190"/>
    <w:rsid w:val="0029676B"/>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1105E"/>
    <w:rsid w:val="00322263"/>
    <w:rsid w:val="00324259"/>
    <w:rsid w:val="0032469B"/>
    <w:rsid w:val="003308C6"/>
    <w:rsid w:val="003316E3"/>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277B"/>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967B4"/>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3263"/>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3CCB"/>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6DE2"/>
    <w:rsid w:val="008B230C"/>
    <w:rsid w:val="008C4E79"/>
    <w:rsid w:val="008C5A40"/>
    <w:rsid w:val="008C5DAA"/>
    <w:rsid w:val="008C6A92"/>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670B"/>
    <w:rsid w:val="00950B0C"/>
    <w:rsid w:val="009679FA"/>
    <w:rsid w:val="0097513D"/>
    <w:rsid w:val="00980A42"/>
    <w:rsid w:val="009823E7"/>
    <w:rsid w:val="00983FDE"/>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2073"/>
    <w:rsid w:val="00A63E3C"/>
    <w:rsid w:val="00A665A2"/>
    <w:rsid w:val="00A7016F"/>
    <w:rsid w:val="00A72C82"/>
    <w:rsid w:val="00A75650"/>
    <w:rsid w:val="00A76A6E"/>
    <w:rsid w:val="00A845B1"/>
    <w:rsid w:val="00A87E3D"/>
    <w:rsid w:val="00A90875"/>
    <w:rsid w:val="00A9597C"/>
    <w:rsid w:val="00AA24A4"/>
    <w:rsid w:val="00AA3AAB"/>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0D3F"/>
    <w:rsid w:val="00B51209"/>
    <w:rsid w:val="00B52AFC"/>
    <w:rsid w:val="00B569B1"/>
    <w:rsid w:val="00B576E1"/>
    <w:rsid w:val="00B57BB8"/>
    <w:rsid w:val="00B605B6"/>
    <w:rsid w:val="00B61CED"/>
    <w:rsid w:val="00B63280"/>
    <w:rsid w:val="00B70C0E"/>
    <w:rsid w:val="00B71408"/>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22AD1"/>
    <w:rsid w:val="00C302E1"/>
    <w:rsid w:val="00C3235B"/>
    <w:rsid w:val="00C34E40"/>
    <w:rsid w:val="00C41328"/>
    <w:rsid w:val="00C41919"/>
    <w:rsid w:val="00C45D2B"/>
    <w:rsid w:val="00C52305"/>
    <w:rsid w:val="00C61312"/>
    <w:rsid w:val="00C6738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1E77"/>
    <w:rsid w:val="00CA3F76"/>
    <w:rsid w:val="00CA6C68"/>
    <w:rsid w:val="00CB616B"/>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0FCB"/>
    <w:rsid w:val="00D52CBF"/>
    <w:rsid w:val="00D541A5"/>
    <w:rsid w:val="00D576CA"/>
    <w:rsid w:val="00D60913"/>
    <w:rsid w:val="00D662AA"/>
    <w:rsid w:val="00D66F04"/>
    <w:rsid w:val="00D678AC"/>
    <w:rsid w:val="00D71AF3"/>
    <w:rsid w:val="00D75213"/>
    <w:rsid w:val="00D75E7A"/>
    <w:rsid w:val="00D76E8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2EEA"/>
    <w:rsid w:val="00EF3951"/>
    <w:rsid w:val="00EF6426"/>
    <w:rsid w:val="00EF6552"/>
    <w:rsid w:val="00F017DE"/>
    <w:rsid w:val="00F02006"/>
    <w:rsid w:val="00F0405C"/>
    <w:rsid w:val="00F0574A"/>
    <w:rsid w:val="00F0781F"/>
    <w:rsid w:val="00F16179"/>
    <w:rsid w:val="00F215D8"/>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5B06"/>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31D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61978073"/>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rPr>
  </w:style>
  <w:style w:type="paragraph" w:styleId="Heading2">
    <w:name w:val="heading 2"/>
    <w:basedOn w:val="Normal"/>
    <w:next w:val="Normal"/>
    <w:link w:val="Heading2Char"/>
    <w:qFormat/>
    <w:pPr>
      <w:keepNext/>
      <w:outlineLvl w:val="1"/>
    </w:p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Subtitle">
    <w:name w:val="Subtitle"/>
    <w:basedOn w:val="Normal"/>
    <w:link w:val="SubtitleChar"/>
    <w:qFormat/>
    <w:pPr>
      <w:jc w:val="center"/>
    </w:pPr>
    <w:rPr>
      <w:b/>
      <w:sz w:val="28"/>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eastAsia="en-US"/>
    </w:rPr>
  </w:style>
  <w:style w:type="paragraph" w:customStyle="1" w:styleId="Section">
    <w:name w:val="Section"/>
    <w:basedOn w:val="Normal"/>
    <w:pPr>
      <w:widowControl w:val="0"/>
      <w:spacing w:before="0" w:after="0" w:line="360" w:lineRule="exact"/>
      <w:jc w:val="center"/>
    </w:pPr>
    <w:rPr>
      <w:b/>
      <w:sz w:val="32"/>
    </w:rPr>
  </w:style>
  <w:style w:type="paragraph" w:customStyle="1" w:styleId="ManualNumPar1">
    <w:name w:val="Manual NumPar 1"/>
    <w:basedOn w:val="Normal"/>
    <w:next w:val="Normal"/>
    <w:pPr>
      <w:ind w:left="851" w:hanging="851"/>
      <w:jc w:val="both"/>
    </w:pPr>
    <w:rPr>
      <w:rFonts w:ascii="Times New Roman" w:hAnsi="Times New Roman"/>
      <w:sz w:val="24"/>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FR" w:eastAsia="en-US" w:bidi="ar-SA"/>
    </w:rPr>
  </w:style>
  <w:style w:type="character" w:customStyle="1" w:styleId="Heading1Char1">
    <w:name w:val="Heading 1 Char1"/>
    <w:link w:val="Heading1"/>
    <w:rsid w:val="0047783A"/>
    <w:rPr>
      <w:rFonts w:ascii="Arial" w:hAnsi="Arial"/>
      <w:b/>
      <w:snapToGrid w:val="0"/>
      <w:lang w:val="fr-FR" w:eastAsia="en-US" w:bidi="ar-SA"/>
    </w:rPr>
  </w:style>
  <w:style w:type="character" w:customStyle="1" w:styleId="Heading1Char">
    <w:name w:val="Heading 1 Char"/>
    <w:locked/>
    <w:rsid w:val="0047783A"/>
    <w:rPr>
      <w:b/>
      <w:sz w:val="24"/>
      <w:szCs w:val="24"/>
      <w:lang w:val="fr-FR" w:eastAsia="en-US" w:bidi="ar-SA"/>
    </w:rPr>
  </w:style>
  <w:style w:type="character" w:customStyle="1" w:styleId="Heading3Char">
    <w:name w:val="Heading 3 Char"/>
    <w:link w:val="Heading3"/>
    <w:semiHidden/>
    <w:locked/>
    <w:rsid w:val="0047783A"/>
    <w:rPr>
      <w:rFonts w:ascii="Arial" w:hAnsi="Arial"/>
      <w:snapToGrid w:val="0"/>
      <w:lang w:val="fr-FR" w:eastAsia="en-US" w:bidi="ar-SA"/>
    </w:rPr>
  </w:style>
  <w:style w:type="character" w:customStyle="1" w:styleId="Heading4Char">
    <w:name w:val="Heading 4 Char"/>
    <w:link w:val="Heading4"/>
    <w:semiHidden/>
    <w:locked/>
    <w:rsid w:val="0047783A"/>
    <w:rPr>
      <w:rFonts w:ascii="Arial" w:hAnsi="Arial"/>
      <w:b/>
      <w:snapToGrid w:val="0"/>
      <w:sz w:val="24"/>
      <w:lang w:val="fr-FR" w:eastAsia="en-US" w:bidi="ar-SA"/>
    </w:rPr>
  </w:style>
  <w:style w:type="character" w:customStyle="1" w:styleId="Heading5Char">
    <w:name w:val="Heading 5 Char"/>
    <w:link w:val="Heading5"/>
    <w:semiHidden/>
    <w:locked/>
    <w:rsid w:val="0047783A"/>
    <w:rPr>
      <w:rFonts w:ascii="Arial" w:hAnsi="Arial"/>
      <w:snapToGrid w:val="0"/>
      <w:sz w:val="22"/>
      <w:lang w:val="fr-FR" w:eastAsia="en-US" w:bidi="ar-SA"/>
    </w:rPr>
  </w:style>
  <w:style w:type="character" w:customStyle="1" w:styleId="Heading6Char">
    <w:name w:val="Heading 6 Char"/>
    <w:link w:val="Heading6"/>
    <w:semiHidden/>
    <w:locked/>
    <w:rsid w:val="0047783A"/>
    <w:rPr>
      <w:rFonts w:ascii="Arial" w:hAnsi="Arial"/>
      <w:i/>
      <w:snapToGrid w:val="0"/>
      <w:sz w:val="22"/>
      <w:lang w:val="fr-FR" w:eastAsia="en-US" w:bidi="ar-SA"/>
    </w:rPr>
  </w:style>
  <w:style w:type="character" w:customStyle="1" w:styleId="Heading7Char">
    <w:name w:val="Heading 7 Char"/>
    <w:link w:val="Heading7"/>
    <w:semiHidden/>
    <w:locked/>
    <w:rsid w:val="0047783A"/>
    <w:rPr>
      <w:rFonts w:ascii="Arial" w:hAnsi="Arial"/>
      <w:snapToGrid w:val="0"/>
      <w:lang w:val="fr-FR" w:eastAsia="en-US" w:bidi="ar-SA"/>
    </w:rPr>
  </w:style>
  <w:style w:type="character" w:customStyle="1" w:styleId="Heading8Char">
    <w:name w:val="Heading 8 Char"/>
    <w:link w:val="Heading8"/>
    <w:semiHidden/>
    <w:locked/>
    <w:rsid w:val="0047783A"/>
    <w:rPr>
      <w:rFonts w:ascii="Arial" w:hAnsi="Arial"/>
      <w:i/>
      <w:snapToGrid w:val="0"/>
      <w:lang w:val="fr-FR" w:eastAsia="en-US" w:bidi="ar-SA"/>
    </w:rPr>
  </w:style>
  <w:style w:type="character" w:customStyle="1" w:styleId="Heading9Char">
    <w:name w:val="Heading 9 Char"/>
    <w:link w:val="Heading9"/>
    <w:semiHidden/>
    <w:locked/>
    <w:rsid w:val="0047783A"/>
    <w:rPr>
      <w:rFonts w:ascii="Arial" w:hAnsi="Arial"/>
      <w:b/>
      <w:i/>
      <w:snapToGrid w:val="0"/>
      <w:sz w:val="18"/>
      <w:lang w:val="fr-FR" w:eastAsia="en-US" w:bidi="ar-SA"/>
    </w:rPr>
  </w:style>
  <w:style w:type="character" w:customStyle="1" w:styleId="TitleChar">
    <w:name w:val="Title Char"/>
    <w:link w:val="Title"/>
    <w:locked/>
    <w:rsid w:val="0047783A"/>
    <w:rPr>
      <w:rFonts w:ascii="Arial" w:hAnsi="Arial"/>
      <w:b/>
      <w:snapToGrid w:val="0"/>
      <w:sz w:val="28"/>
      <w:lang w:val="fr-FR" w:eastAsia="en-US" w:bidi="ar-SA"/>
    </w:rPr>
  </w:style>
  <w:style w:type="character" w:customStyle="1" w:styleId="SubtitleChar">
    <w:name w:val="Subtitle Char"/>
    <w:link w:val="Subtitle"/>
    <w:locked/>
    <w:rsid w:val="0047783A"/>
    <w:rPr>
      <w:rFonts w:ascii="Arial" w:hAnsi="Arial"/>
      <w:b/>
      <w:snapToGrid w:val="0"/>
      <w:sz w:val="28"/>
      <w:lang w:val="fr-FR" w:eastAsia="en-US" w:bidi="ar-SA"/>
    </w:rPr>
  </w:style>
  <w:style w:type="character" w:customStyle="1" w:styleId="BodyTextIndentChar">
    <w:name w:val="Body Text Indent Char"/>
    <w:link w:val="BodyTextIndent"/>
    <w:semiHidden/>
    <w:locked/>
    <w:rsid w:val="0047783A"/>
    <w:rPr>
      <w:snapToGrid w:val="0"/>
      <w:sz w:val="24"/>
      <w:lang w:val="fr-FR" w:eastAsia="en-US" w:bidi="ar-SA"/>
    </w:rPr>
  </w:style>
  <w:style w:type="character" w:customStyle="1" w:styleId="BodyTextChar">
    <w:name w:val="Body Text Char"/>
    <w:link w:val="BodyText"/>
    <w:semiHidden/>
    <w:locked/>
    <w:rsid w:val="0047783A"/>
    <w:rPr>
      <w:rFonts w:ascii="Arial" w:hAnsi="Arial"/>
      <w:snapToGrid w:val="0"/>
      <w:lang w:val="fr-FR"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fr-FR" w:eastAsia="en-US" w:bidi="ar-SA"/>
    </w:rPr>
  </w:style>
  <w:style w:type="character" w:customStyle="1" w:styleId="BodyTextIndent3Char">
    <w:name w:val="Body Text Indent 3 Char"/>
    <w:link w:val="BodyTextIndent3"/>
    <w:semiHidden/>
    <w:locked/>
    <w:rsid w:val="0047783A"/>
    <w:rPr>
      <w:rFonts w:ascii="Arial" w:hAnsi="Arial"/>
      <w:snapToGrid w:val="0"/>
      <w:sz w:val="24"/>
      <w:lang w:val="fr-FR" w:eastAsia="en-US" w:bidi="ar-SA"/>
    </w:rPr>
  </w:style>
  <w:style w:type="character" w:customStyle="1" w:styleId="HeaderChar">
    <w:name w:val="Header Char"/>
    <w:link w:val="Header"/>
    <w:semiHidden/>
    <w:locked/>
    <w:rsid w:val="0047783A"/>
    <w:rPr>
      <w:rFonts w:ascii="Arial" w:hAnsi="Arial"/>
      <w:snapToGrid w:val="0"/>
      <w:lang w:val="fr-FR" w:eastAsia="en-US" w:bidi="ar-SA"/>
    </w:rPr>
  </w:style>
  <w:style w:type="character" w:customStyle="1" w:styleId="FooterChar">
    <w:name w:val="Footer Char"/>
    <w:link w:val="Footer"/>
    <w:uiPriority w:val="99"/>
    <w:locked/>
    <w:rsid w:val="0047783A"/>
    <w:rPr>
      <w:rFonts w:ascii="Arial" w:hAnsi="Arial"/>
      <w:snapToGrid w:val="0"/>
      <w:lang w:val="fr-FR" w:eastAsia="en-US" w:bidi="ar-SA"/>
    </w:rPr>
  </w:style>
  <w:style w:type="character" w:customStyle="1" w:styleId="BodyText3Char">
    <w:name w:val="Body Text 3 Char"/>
    <w:link w:val="BodyText3"/>
    <w:semiHidden/>
    <w:locked/>
    <w:rsid w:val="0047783A"/>
    <w:rPr>
      <w:rFonts w:ascii="Arial" w:hAnsi="Arial"/>
      <w:b/>
      <w:snapToGrid w:val="0"/>
      <w:sz w:val="24"/>
      <w:lang w:val="fr-FR"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fr-FR"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0724-DDBC-472C-BF0B-51DD2AB5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3414</Words>
  <Characters>19295</Characters>
  <Application>Microsoft Office Word</Application>
  <DocSecurity>0</DocSecurity>
  <Lines>364</Lines>
  <Paragraphs>154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XXXXXXX</Company>
  <LinksUpToDate>false</LinksUpToDate>
  <CharactersWithSpaces>22555</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XXXXXXX</dc:creator>
  <cp:keywords/>
  <cp:lastModifiedBy>OTERO VEGA Yolanda (INTPA)</cp:lastModifiedBy>
  <cp:revision>12</cp:revision>
  <cp:lastPrinted>2014-02-11T14:32:00Z</cp:lastPrinted>
  <dcterms:created xsi:type="dcterms:W3CDTF">2021-11-19T11:34:00Z</dcterms:created>
  <dcterms:modified xsi:type="dcterms:W3CDTF">2022-11-17T11:38:00Z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