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0B3A" w14:textId="79B104D3" w:rsidR="006F5FD0" w:rsidRPr="00571687" w:rsidRDefault="00297B55" w:rsidP="00D517A4">
      <w:pPr>
        <w:jc w:val="center"/>
        <w:rPr>
          <w:sz w:val="20"/>
        </w:rPr>
      </w:pPr>
      <w:r>
        <w:rPr>
          <w:sz w:val="20"/>
          <w:highlight w:val="yellow"/>
        </w:rPr>
        <w:t>Document public à remplir par le pouvoir adjudicateur</w:t>
      </w:r>
      <w:r>
        <w:t xml:space="preserve"> </w:t>
      </w:r>
      <w:r>
        <w:br/>
      </w:r>
    </w:p>
    <w:p w14:paraId="01BE87E4" w14:textId="77777777" w:rsidR="006F5FD0" w:rsidRPr="00571687" w:rsidRDefault="00C03806">
      <w:pPr>
        <w:jc w:val="center"/>
        <w:rPr>
          <w:rStyle w:val="Strong"/>
          <w:sz w:val="28"/>
          <w:szCs w:val="28"/>
        </w:rPr>
      </w:pPr>
      <w:r>
        <w:rPr>
          <w:b/>
          <w:sz w:val="28"/>
          <w:szCs w:val="28"/>
        </w:rPr>
        <w:t>AVIS DE MARCHÉ</w:t>
      </w:r>
    </w:p>
    <w:p w14:paraId="056FE4D0" w14:textId="77777777" w:rsidR="00EF74CF" w:rsidRPr="004E0A63" w:rsidRDefault="00EF74CF" w:rsidP="00EF74CF">
      <w:pPr>
        <w:pStyle w:val="Subtitle"/>
        <w:shd w:val="clear" w:color="auto" w:fill="FFFF00"/>
        <w:spacing w:after="0"/>
        <w:jc w:val="both"/>
        <w:rPr>
          <w:rFonts w:ascii="Times New Roman" w:hAnsi="Times New Roman"/>
          <w:snapToGrid/>
          <w:sz w:val="22"/>
          <w:szCs w:val="22"/>
          <w:highlight w:val="yellow"/>
        </w:rPr>
      </w:pPr>
      <w:r>
        <w:rPr>
          <w:rFonts w:ascii="Times New Roman" w:hAnsi="Times New Roman"/>
          <w:snapToGrid/>
          <w:sz w:val="22"/>
          <w:szCs w:val="22"/>
          <w:highlight w:val="yellow"/>
        </w:rPr>
        <w:t>Conseils sur l’utilisation du présent formulaire</w:t>
      </w:r>
    </w:p>
    <w:p w14:paraId="30A9AEC5" w14:textId="3A332883" w:rsidR="00EF74CF" w:rsidRPr="008F66E7" w:rsidRDefault="00EF74CF" w:rsidP="00EF74CF">
      <w:pPr>
        <w:spacing w:beforeAutospacing="1" w:afterAutospacing="1"/>
        <w:jc w:val="both"/>
        <w:rPr>
          <w:highlight w:val="yellow"/>
        </w:rPr>
      </w:pPr>
      <w:r>
        <w:rPr>
          <w:sz w:val="22"/>
          <w:szCs w:val="22"/>
          <w:highlight w:val="yellow"/>
        </w:rPr>
        <w:t>La présente annexe doit être utilisée uniquement en cas de gestion indirecte ou de devis-programme (en l’absence d’évaluation positive des règles et procédures de passation de marché). En cas de gestion indirecte, le pays partenaire ou l’organisation régionale remplit l’annexe au format Word et la transmet à la délégation/l’unité. La délégation/l’unité encode les données de cette annexe dans PPMT. En cas de devis-programme, la publication s’effectue localement et non via PPMT.</w:t>
      </w:r>
    </w:p>
    <w:p w14:paraId="78A296AB" w14:textId="264EDB62" w:rsidR="00AC2A41" w:rsidRPr="00BB3DD7" w:rsidRDefault="00AC2A41" w:rsidP="00EF74CF">
      <w:pPr>
        <w:spacing w:beforeAutospacing="1" w:afterAutospacing="1"/>
        <w:jc w:val="both"/>
        <w:rPr>
          <w:sz w:val="22"/>
          <w:szCs w:val="22"/>
          <w:highlight w:val="yellow"/>
        </w:rPr>
      </w:pPr>
      <w:r>
        <w:rPr>
          <w:sz w:val="22"/>
          <w:szCs w:val="22"/>
          <w:highlight w:val="yellow"/>
        </w:rPr>
        <w:t>Le présent formulaire doit être rempli, ainsi que</w:t>
      </w:r>
      <w:r>
        <w:rPr>
          <w:sz w:val="22"/>
          <w:highlight w:val="yellow"/>
        </w:rPr>
        <w:t xml:space="preserve"> l’annexe </w:t>
      </w:r>
      <w:r>
        <w:rPr>
          <w:b/>
          <w:sz w:val="22"/>
          <w:highlight w:val="yellow"/>
        </w:rPr>
        <w:t>A5f («Informations complémentaires sur l’avis de marché»)</w:t>
      </w:r>
      <w:r>
        <w:rPr>
          <w:sz w:val="22"/>
          <w:highlight w:val="yellow"/>
        </w:rPr>
        <w:t>.</w:t>
      </w:r>
      <w:r>
        <w:rPr>
          <w:b/>
          <w:sz w:val="22"/>
          <w:highlight w:val="yellow"/>
        </w:rPr>
        <w:t xml:space="preserve"> </w:t>
      </w:r>
      <w:r>
        <w:rPr>
          <w:sz w:val="22"/>
          <w:szCs w:val="22"/>
          <w:highlight w:val="yellow"/>
        </w:rPr>
        <w:t>La numérotation des sections du présent avis de marché ne doit pas être modifiée car elle correspond à la numérotation appliquée dans le supplément au Journal officiel de l’UE (TED) pour la publication des avis de marché.</w:t>
      </w:r>
    </w:p>
    <w:p w14:paraId="107B0A49" w14:textId="431809F8" w:rsidR="00EF74CF" w:rsidRPr="00B656F0" w:rsidRDefault="00EF74CF" w:rsidP="00EF74CF">
      <w:pPr>
        <w:pStyle w:val="Subtitle"/>
        <w:shd w:val="clear" w:color="auto" w:fill="FFFF00"/>
        <w:spacing w:after="240"/>
        <w:jc w:val="both"/>
      </w:pPr>
      <w:r>
        <w:rPr>
          <w:rFonts w:ascii="Times New Roman" w:hAnsi="Times New Roman"/>
          <w:snapToGrid/>
          <w:sz w:val="22"/>
          <w:szCs w:val="22"/>
          <w:highlight w:val="yellow"/>
        </w:rPr>
        <w:t xml:space="preserve">Veuillez remplacer les éléments </w:t>
      </w:r>
      <w:r>
        <w:rPr>
          <w:rFonts w:ascii="Times New Roman" w:hAnsi="Times New Roman"/>
          <w:b w:val="0"/>
          <w:snapToGrid/>
          <w:sz w:val="22"/>
          <w:szCs w:val="22"/>
          <w:highlight w:val="yellow"/>
        </w:rPr>
        <w:t>entre &lt; &gt; par les éléments correspondant à chaque procédure d’appel d’offres. Les éléments figurant entre [ ] et sur fond gris sont des options:</w:t>
      </w:r>
      <w:r>
        <w:rPr>
          <w:rFonts w:ascii="Times New Roman" w:hAnsi="Times New Roman"/>
          <w:snapToGrid/>
          <w:sz w:val="22"/>
          <w:szCs w:val="22"/>
        </w:rPr>
        <w:t xml:space="preserve"> </w:t>
      </w:r>
      <w:r>
        <w:rPr>
          <w:rFonts w:ascii="Times New Roman" w:hAnsi="Times New Roman"/>
          <w:b w:val="0"/>
          <w:snapToGrid/>
          <w:sz w:val="22"/>
          <w:szCs w:val="22"/>
          <w:highlight w:val="yellow"/>
        </w:rPr>
        <w:t>ils doivent être insérés</w:t>
      </w:r>
      <w:r>
        <w:rPr>
          <w:rFonts w:ascii="Times New Roman" w:hAnsi="Times New Roman"/>
          <w:b w:val="0"/>
          <w:snapToGrid/>
          <w:sz w:val="22"/>
          <w:szCs w:val="22"/>
        </w:rPr>
        <w:t xml:space="preserve"> si nécessaire et ne doivent être modifiés qu’à titre exceptionnel, en fonction des exigences propres à certains appels d’offres. </w:t>
      </w:r>
      <w:r>
        <w:rPr>
          <w:rFonts w:ascii="Times New Roman" w:hAnsi="Times New Roman"/>
          <w:snapToGrid/>
          <w:sz w:val="22"/>
          <w:szCs w:val="22"/>
        </w:rPr>
        <w:t>Tous les autres éléments du présent avis doivent rester inchangés.</w:t>
      </w:r>
      <w:r>
        <w:rPr>
          <w:rFonts w:ascii="Times New Roman" w:hAnsi="Times New Roman"/>
          <w:b w:val="0"/>
          <w:snapToGrid/>
          <w:sz w:val="22"/>
          <w:szCs w:val="22"/>
        </w:rPr>
        <w:t xml:space="preserve"> Dans la version finale de l’avis, n’oubliez pas de supprimer le présent paragraphe, tout autre texte affiché sur fond jaune et tous les crochets.</w:t>
      </w:r>
    </w:p>
    <w:p w14:paraId="16C724C2" w14:textId="57A606E0" w:rsidR="00F3539A" w:rsidRDefault="00DB35A9" w:rsidP="007C201A">
      <w:pPr>
        <w:spacing w:beforeAutospacing="1" w:afterAutospacing="1"/>
        <w:rPr>
          <w:rStyle w:val="Strong"/>
          <w:sz w:val="22"/>
          <w:szCs w:val="22"/>
          <w:u w:val="single"/>
        </w:rPr>
      </w:pPr>
      <w:r>
        <w:rPr>
          <w:b/>
          <w:sz w:val="22"/>
          <w:szCs w:val="22"/>
          <w:u w:val="single"/>
        </w:rPr>
        <w:t>APPEL D’OFFRES: INFORMATIONS D’ORDRE GÉNÉRAL</w:t>
      </w:r>
      <w:r>
        <w:br/>
      </w:r>
      <w:r>
        <w:br/>
      </w:r>
      <w:r>
        <w:rPr>
          <w:sz w:val="22"/>
          <w:szCs w:val="22"/>
          <w:highlight w:val="lightGray"/>
          <w:u w:val="single"/>
        </w:rPr>
        <w:t>[</w:t>
      </w:r>
      <w:r>
        <w:rPr>
          <w:sz w:val="22"/>
          <w:szCs w:val="22"/>
          <w:highlight w:val="yellow"/>
        </w:rPr>
        <w:t>En cas de publication d’un avis de préinformation</w:t>
      </w:r>
      <w:r>
        <w:br/>
      </w:r>
      <w:r>
        <w:rPr>
          <w:b/>
          <w:sz w:val="22"/>
          <w:szCs w:val="22"/>
          <w:highlight w:val="lightGray"/>
          <w:u w:val="single"/>
        </w:rPr>
        <w:t>II.1.1) Intitulé de l’avis de préinformation:</w:t>
      </w:r>
      <w:r>
        <w:rPr>
          <w:b/>
          <w:sz w:val="22"/>
          <w:szCs w:val="22"/>
        </w:rPr>
        <w:t xml:space="preserve"> </w:t>
      </w:r>
      <w:r>
        <w:rPr>
          <w:b/>
          <w:sz w:val="22"/>
          <w:szCs w:val="22"/>
          <w:highlight w:val="yellow"/>
        </w:rPr>
        <w:t>&lt;intitulé de l’avis de préinformation&gt;</w:t>
      </w:r>
      <w:r>
        <w:br/>
      </w:r>
      <w:r>
        <w:rPr>
          <w:b/>
          <w:sz w:val="22"/>
          <w:szCs w:val="22"/>
          <w:highlight w:val="lightGray"/>
          <w:u w:val="single"/>
        </w:rPr>
        <w:t>II.1.1) Numéro de référence de l’avis de préinformation:</w:t>
      </w:r>
      <w:r>
        <w:rPr>
          <w:sz w:val="22"/>
          <w:szCs w:val="22"/>
          <w:u w:val="single"/>
        </w:rPr>
        <w:t xml:space="preserve"> </w:t>
      </w:r>
      <w:r>
        <w:rPr>
          <w:b/>
          <w:sz w:val="22"/>
          <w:szCs w:val="22"/>
          <w:highlight w:val="yellow"/>
        </w:rPr>
        <w:t>&lt;numéro de référence de l’avis de préinformation&gt;</w:t>
      </w:r>
      <w:r>
        <w:rPr>
          <w:sz w:val="22"/>
          <w:szCs w:val="22"/>
        </w:rPr>
        <w:t>]</w:t>
      </w:r>
      <w:r>
        <w:br/>
      </w:r>
      <w:r>
        <w:br/>
      </w:r>
      <w:r>
        <w:rPr>
          <w:rStyle w:val="Strong"/>
          <w:b w:val="0"/>
          <w:sz w:val="22"/>
          <w:szCs w:val="22"/>
          <w:highlight w:val="lightGray"/>
        </w:rPr>
        <w:t>[</w:t>
      </w:r>
      <w:r>
        <w:rPr>
          <w:rStyle w:val="Strong"/>
          <w:b w:val="0"/>
          <w:sz w:val="22"/>
          <w:szCs w:val="22"/>
          <w:highlight w:val="yellow"/>
        </w:rPr>
        <w:t>En l’absence de publication d’un avis de préinformation</w:t>
      </w:r>
    </w:p>
    <w:p w14:paraId="5B463A74" w14:textId="173992F3" w:rsidR="00EF74CF" w:rsidRPr="00F3539A" w:rsidRDefault="00EF74CF" w:rsidP="00EF74CF">
      <w:pPr>
        <w:outlineLvl w:val="0"/>
        <w:rPr>
          <w:rStyle w:val="Strong"/>
          <w:sz w:val="22"/>
          <w:szCs w:val="22"/>
          <w:highlight w:val="lightGray"/>
          <w:u w:val="single"/>
        </w:rPr>
      </w:pPr>
      <w:r>
        <w:rPr>
          <w:rStyle w:val="Strong"/>
          <w:sz w:val="22"/>
          <w:szCs w:val="22"/>
          <w:highlight w:val="lightGray"/>
          <w:u w:val="single"/>
        </w:rPr>
        <w:t>I.1) Nom et adresse du pouvoir adjudicateur</w:t>
      </w:r>
    </w:p>
    <w:p w14:paraId="303D6D3A" w14:textId="77777777" w:rsidR="00EF74CF" w:rsidRPr="00D53856" w:rsidRDefault="00EF74CF" w:rsidP="00EF74CF">
      <w:pPr>
        <w:outlineLvl w:val="0"/>
        <w:rPr>
          <w:rStyle w:val="Strong"/>
          <w:b w:val="0"/>
          <w:sz w:val="22"/>
          <w:szCs w:val="22"/>
        </w:rPr>
      </w:pPr>
      <w:r>
        <w:rPr>
          <w:rStyle w:val="Strong"/>
          <w:b w:val="0"/>
          <w:sz w:val="22"/>
          <w:szCs w:val="22"/>
          <w:highlight w:val="lightGray"/>
        </w:rPr>
        <w:t>Nom officiel:</w:t>
      </w:r>
      <w:r>
        <w:rPr>
          <w:rStyle w:val="Strong"/>
          <w:b w:val="0"/>
          <w:sz w:val="22"/>
          <w:szCs w:val="22"/>
        </w:rPr>
        <w:t xml:space="preserve"> </w:t>
      </w:r>
      <w:r>
        <w:rPr>
          <w:rStyle w:val="Strong"/>
          <w:b w:val="0"/>
          <w:sz w:val="22"/>
          <w:szCs w:val="22"/>
          <w:highlight w:val="yellow"/>
        </w:rPr>
        <w:t>&lt;nom&gt;</w:t>
      </w:r>
      <w:r>
        <w:br/>
      </w:r>
      <w:r>
        <w:rPr>
          <w:rStyle w:val="Strong"/>
          <w:b w:val="0"/>
          <w:sz w:val="22"/>
          <w:szCs w:val="22"/>
          <w:highlight w:val="lightGray"/>
        </w:rPr>
        <w:t>Adresse postale:</w:t>
      </w:r>
      <w:r>
        <w:rPr>
          <w:rStyle w:val="Strong"/>
          <w:b w:val="0"/>
          <w:sz w:val="22"/>
          <w:szCs w:val="22"/>
        </w:rPr>
        <w:t xml:space="preserve"> </w:t>
      </w:r>
      <w:r>
        <w:rPr>
          <w:rStyle w:val="Strong"/>
          <w:b w:val="0"/>
          <w:sz w:val="22"/>
          <w:szCs w:val="22"/>
          <w:highlight w:val="yellow"/>
        </w:rPr>
        <w:t>&lt;adresse postale&gt;</w:t>
      </w:r>
      <w:r>
        <w:br/>
      </w:r>
      <w:r>
        <w:rPr>
          <w:rStyle w:val="Strong"/>
          <w:b w:val="0"/>
          <w:sz w:val="22"/>
          <w:szCs w:val="22"/>
          <w:highlight w:val="lightGray"/>
        </w:rPr>
        <w:t>Ville:</w:t>
      </w:r>
      <w:r>
        <w:rPr>
          <w:rStyle w:val="Strong"/>
          <w:b w:val="0"/>
          <w:sz w:val="22"/>
          <w:szCs w:val="22"/>
        </w:rPr>
        <w:t xml:space="preserve"> </w:t>
      </w:r>
      <w:r>
        <w:rPr>
          <w:rStyle w:val="Strong"/>
          <w:b w:val="0"/>
          <w:sz w:val="22"/>
          <w:szCs w:val="22"/>
          <w:highlight w:val="yellow"/>
        </w:rPr>
        <w:t>&lt;ville&gt;</w:t>
      </w:r>
      <w:r>
        <w:br/>
      </w:r>
      <w:r>
        <w:rPr>
          <w:rStyle w:val="Strong"/>
          <w:b w:val="0"/>
          <w:sz w:val="22"/>
          <w:szCs w:val="22"/>
          <w:highlight w:val="lightGray"/>
        </w:rPr>
        <w:t>Code postal:</w:t>
      </w:r>
      <w:r>
        <w:rPr>
          <w:rStyle w:val="Strong"/>
          <w:b w:val="0"/>
          <w:sz w:val="22"/>
          <w:szCs w:val="22"/>
        </w:rPr>
        <w:t xml:space="preserve"> </w:t>
      </w:r>
      <w:r>
        <w:rPr>
          <w:rStyle w:val="Strong"/>
          <w:b w:val="0"/>
          <w:sz w:val="22"/>
          <w:szCs w:val="22"/>
          <w:highlight w:val="yellow"/>
        </w:rPr>
        <w:t>&lt;code postal&gt;</w:t>
      </w:r>
      <w:r>
        <w:br/>
      </w:r>
      <w:r>
        <w:rPr>
          <w:rStyle w:val="Strong"/>
          <w:b w:val="0"/>
          <w:sz w:val="22"/>
          <w:szCs w:val="22"/>
          <w:highlight w:val="lightGray"/>
        </w:rPr>
        <w:t>E-mail:</w:t>
      </w:r>
      <w:r>
        <w:rPr>
          <w:rStyle w:val="Strong"/>
          <w:b w:val="0"/>
          <w:sz w:val="22"/>
          <w:szCs w:val="22"/>
        </w:rPr>
        <w:t xml:space="preserve"> </w:t>
      </w:r>
      <w:r>
        <w:rPr>
          <w:rStyle w:val="Strong"/>
          <w:b w:val="0"/>
          <w:sz w:val="22"/>
          <w:szCs w:val="22"/>
          <w:highlight w:val="yellow"/>
        </w:rPr>
        <w:t>&lt;e-mail&gt;</w:t>
      </w:r>
      <w:r>
        <w:br/>
      </w:r>
      <w:r>
        <w:rPr>
          <w:rStyle w:val="Strong"/>
          <w:b w:val="0"/>
          <w:sz w:val="22"/>
          <w:szCs w:val="22"/>
          <w:highlight w:val="lightGray"/>
        </w:rPr>
        <w:t>Adresse internet:</w:t>
      </w:r>
      <w:r>
        <w:rPr>
          <w:rStyle w:val="Strong"/>
          <w:b w:val="0"/>
          <w:sz w:val="22"/>
          <w:szCs w:val="22"/>
        </w:rPr>
        <w:t xml:space="preserve"> </w:t>
      </w:r>
      <w:r>
        <w:rPr>
          <w:rStyle w:val="Strong"/>
          <w:b w:val="0"/>
          <w:sz w:val="22"/>
          <w:szCs w:val="22"/>
          <w:highlight w:val="yellow"/>
        </w:rPr>
        <w:t>&lt;adresse internet&gt;</w:t>
      </w:r>
    </w:p>
    <w:p w14:paraId="211EB328" w14:textId="09AA5A94" w:rsidR="00CF366A" w:rsidRDefault="00B513FE" w:rsidP="00EF74CF">
      <w:pPr>
        <w:outlineLvl w:val="0"/>
        <w:rPr>
          <w:rStyle w:val="Strong"/>
          <w:b w:val="0"/>
          <w:sz w:val="22"/>
          <w:szCs w:val="22"/>
        </w:rPr>
      </w:pPr>
      <w:r>
        <w:t xml:space="preserve"> </w:t>
      </w:r>
      <w:r>
        <w:br/>
      </w:r>
      <w:r>
        <w:rPr>
          <w:rStyle w:val="Strong"/>
          <w:sz w:val="22"/>
          <w:szCs w:val="22"/>
          <w:highlight w:val="lightGray"/>
          <w:u w:val="single"/>
        </w:rPr>
        <w:t>II.1.1)</w:t>
      </w:r>
      <w:r>
        <w:rPr>
          <w:rStyle w:val="Strong"/>
          <w:sz w:val="22"/>
          <w:szCs w:val="22"/>
          <w:u w:val="single"/>
        </w:rPr>
        <w:t xml:space="preserve"> </w:t>
      </w:r>
      <w:r>
        <w:rPr>
          <w:rStyle w:val="Strong"/>
          <w:sz w:val="22"/>
          <w:szCs w:val="22"/>
          <w:highlight w:val="lightGray"/>
          <w:u w:val="single"/>
        </w:rPr>
        <w:t>Intitulé</w:t>
      </w:r>
      <w:r>
        <w:rPr>
          <w:rStyle w:val="Strong"/>
          <w:b w:val="0"/>
          <w:sz w:val="22"/>
          <w:szCs w:val="22"/>
          <w:highlight w:val="lightGray"/>
        </w:rPr>
        <w:t xml:space="preserve"> </w:t>
      </w:r>
      <w:r>
        <w:br/>
        <w:t xml:space="preserve"> </w:t>
      </w:r>
      <w:r>
        <w:br/>
      </w:r>
      <w:r>
        <w:rPr>
          <w:rStyle w:val="Strong"/>
          <w:b w:val="0"/>
          <w:sz w:val="22"/>
          <w:szCs w:val="22"/>
          <w:highlight w:val="yellow"/>
        </w:rPr>
        <w:t>&lt;intitulé du marché&gt;</w:t>
      </w:r>
      <w:bookmarkStart w:id="0" w:name="_GoBack"/>
      <w:bookmarkEnd w:id="0"/>
    </w:p>
    <w:p w14:paraId="0882407B" w14:textId="6FE8C2F6" w:rsidR="00CF366A" w:rsidRPr="008F66E7" w:rsidRDefault="00CF366A" w:rsidP="00EF74CF">
      <w:pPr>
        <w:outlineLvl w:val="0"/>
        <w:rPr>
          <w:rStyle w:val="Strong"/>
          <w:sz w:val="22"/>
          <w:szCs w:val="22"/>
          <w:u w:val="single"/>
        </w:rPr>
      </w:pPr>
      <w:r>
        <w:rPr>
          <w:rStyle w:val="Strong"/>
          <w:sz w:val="22"/>
          <w:szCs w:val="22"/>
          <w:u w:val="single"/>
        </w:rPr>
        <w:t>II.1.2) Code CPV</w:t>
      </w:r>
      <w:r>
        <w:rPr>
          <w:rStyle w:val="FootnoteReference"/>
          <w:b/>
          <w:sz w:val="22"/>
          <w:szCs w:val="22"/>
          <w:u w:val="single"/>
          <w:lang w:val="en-GB"/>
        </w:rPr>
        <w:footnoteReference w:id="1"/>
      </w:r>
      <w:r>
        <w:rPr>
          <w:rStyle w:val="Strong"/>
          <w:sz w:val="22"/>
          <w:szCs w:val="22"/>
          <w:u w:val="single"/>
        </w:rPr>
        <w:t xml:space="preserve"> principal</w:t>
      </w:r>
    </w:p>
    <w:p w14:paraId="57BD9A50" w14:textId="5DFF028D" w:rsidR="00010B32" w:rsidRPr="00D67F00" w:rsidRDefault="009B0DBF" w:rsidP="00010B32">
      <w:pPr>
        <w:outlineLvl w:val="0"/>
        <w:rPr>
          <w:rStyle w:val="Strong"/>
          <w:sz w:val="22"/>
          <w:szCs w:val="22"/>
          <w:u w:val="single"/>
        </w:rPr>
      </w:pPr>
      <w:r>
        <w:rPr>
          <w:rStyle w:val="Strong"/>
          <w:b w:val="0"/>
          <w:sz w:val="22"/>
          <w:szCs w:val="22"/>
          <w:highlight w:val="yellow"/>
        </w:rPr>
        <w:lastRenderedPageBreak/>
        <w:t>&lt;[ ][ ].[ ][ ].[ ][ ].[ ][ ]&gt;</w:t>
      </w:r>
      <w:r>
        <w:rPr>
          <w:rStyle w:val="Strong"/>
          <w:b w:val="0"/>
          <w:sz w:val="22"/>
          <w:szCs w:val="22"/>
        </w:rPr>
        <w:t xml:space="preserve"> </w:t>
      </w:r>
      <w:r>
        <w:rPr>
          <w:rStyle w:val="Strong"/>
          <w:b w:val="0"/>
          <w:sz w:val="22"/>
          <w:szCs w:val="22"/>
          <w:highlight w:val="lightGray"/>
        </w:rPr>
        <w:t>[</w:t>
      </w:r>
      <w:r>
        <w:rPr>
          <w:rStyle w:val="Strong"/>
          <w:b w:val="0"/>
          <w:sz w:val="22"/>
          <w:szCs w:val="22"/>
          <w:highlight w:val="yellow"/>
        </w:rPr>
        <w:t xml:space="preserve">le cas échéant </w:t>
      </w:r>
      <w:r>
        <w:rPr>
          <w:rStyle w:val="Strong"/>
          <w:b w:val="0"/>
          <w:sz w:val="22"/>
          <w:szCs w:val="22"/>
          <w:highlight w:val="lightGray"/>
        </w:rPr>
        <w:t>Code CPV supplémentaire</w:t>
      </w:r>
      <w:r>
        <w:rPr>
          <w:rStyle w:val="FootnoteReference"/>
          <w:sz w:val="22"/>
          <w:szCs w:val="22"/>
          <w:highlight w:val="lightGray"/>
          <w:lang w:val="en-GB"/>
        </w:rPr>
        <w:footnoteReference w:id="2"/>
      </w:r>
      <w:r>
        <w:rPr>
          <w:rStyle w:val="Strong"/>
          <w:b w:val="0"/>
          <w:sz w:val="22"/>
          <w:szCs w:val="22"/>
          <w:highlight w:val="lightGray"/>
        </w:rPr>
        <w:t xml:space="preserve"> &lt;[ ][ ][ ][ ]&gt; ]</w:t>
      </w:r>
      <w:r>
        <w:t xml:space="preserve"> </w:t>
      </w:r>
      <w:r>
        <w:br/>
        <w:t xml:space="preserve"> </w:t>
      </w:r>
      <w:r>
        <w:br/>
      </w:r>
      <w:r>
        <w:rPr>
          <w:rStyle w:val="Strong"/>
          <w:sz w:val="22"/>
          <w:szCs w:val="22"/>
          <w:u w:val="single"/>
        </w:rPr>
        <w:t>II.1.3) Type de marché</w:t>
      </w:r>
    </w:p>
    <w:p w14:paraId="382700E3" w14:textId="494FD1CB" w:rsidR="00010B32" w:rsidRPr="008F66E7" w:rsidRDefault="00010B32" w:rsidP="008F66E7">
      <w:pPr>
        <w:pStyle w:val="Blockquote"/>
        <w:ind w:left="0"/>
        <w:jc w:val="both"/>
        <w:rPr>
          <w:rStyle w:val="Strong"/>
          <w:b w:val="0"/>
          <w:i/>
          <w:sz w:val="22"/>
          <w:szCs w:val="22"/>
        </w:rPr>
      </w:pPr>
      <w:r>
        <w:rPr>
          <w:rStyle w:val="Emphasis"/>
          <w:i w:val="0"/>
          <w:sz w:val="22"/>
          <w:szCs w:val="22"/>
          <w:highlight w:val="lightGray"/>
        </w:rPr>
        <w:t>[Travaux][Fournitures][Services]</w:t>
      </w:r>
    </w:p>
    <w:p w14:paraId="355F962B" w14:textId="301F3452" w:rsidR="00EF74CF" w:rsidRPr="00D67F00" w:rsidRDefault="00EF74CF" w:rsidP="008F66E7">
      <w:pPr>
        <w:spacing w:before="240" w:after="120"/>
        <w:outlineLvl w:val="0"/>
        <w:rPr>
          <w:rStyle w:val="Strong"/>
          <w:sz w:val="22"/>
          <w:szCs w:val="22"/>
          <w:u w:val="single"/>
        </w:rPr>
      </w:pPr>
      <w:r>
        <w:rPr>
          <w:rStyle w:val="Strong"/>
          <w:sz w:val="22"/>
          <w:szCs w:val="22"/>
          <w:highlight w:val="lightGray"/>
          <w:u w:val="single"/>
        </w:rPr>
        <w:t>II.1.4) Description succincte du marché</w:t>
      </w:r>
    </w:p>
    <w:p w14:paraId="2F10B4EE" w14:textId="01954EDF" w:rsidR="00EF74CF" w:rsidRPr="00D225CC" w:rsidRDefault="00EF74CF" w:rsidP="00EF74CF">
      <w:pPr>
        <w:pStyle w:val="Blockquote"/>
        <w:ind w:left="0"/>
        <w:jc w:val="both"/>
        <w:rPr>
          <w:i/>
          <w:sz w:val="22"/>
          <w:szCs w:val="22"/>
        </w:rPr>
      </w:pPr>
      <w:r>
        <w:rPr>
          <w:rStyle w:val="Emphasis"/>
          <w:i w:val="0"/>
          <w:sz w:val="22"/>
          <w:szCs w:val="22"/>
        </w:rPr>
        <w:t>&lt;</w:t>
      </w:r>
      <w:r>
        <w:rPr>
          <w:rStyle w:val="Emphasis"/>
          <w:i w:val="0"/>
          <w:sz w:val="22"/>
          <w:szCs w:val="22"/>
          <w:highlight w:val="yellow"/>
        </w:rPr>
        <w:t>Recommandé: 10 lignes. Maximum: 20 lignes.&gt;</w:t>
      </w:r>
      <w:r>
        <w:rPr>
          <w:rStyle w:val="Emphasis"/>
          <w:i w:val="0"/>
          <w:sz w:val="22"/>
          <w:szCs w:val="22"/>
          <w:highlight w:val="lightGray"/>
        </w:rPr>
        <w:t>]</w:t>
      </w:r>
    </w:p>
    <w:p w14:paraId="2EF9E8FA" w14:textId="699C6124" w:rsidR="00EF74CF" w:rsidRPr="00D67F00" w:rsidRDefault="00B513FE" w:rsidP="00EF74CF">
      <w:pPr>
        <w:outlineLvl w:val="0"/>
        <w:rPr>
          <w:rStyle w:val="Strong"/>
          <w:sz w:val="22"/>
          <w:szCs w:val="22"/>
          <w:u w:val="single"/>
        </w:rPr>
      </w:pPr>
      <w:r>
        <w:t xml:space="preserve"> </w:t>
      </w:r>
      <w:r>
        <w:br/>
      </w:r>
      <w:r>
        <w:rPr>
          <w:rStyle w:val="Strong"/>
          <w:sz w:val="22"/>
          <w:szCs w:val="22"/>
          <w:u w:val="single"/>
        </w:rPr>
        <w:t>II.1.5) Montant total estimé</w:t>
      </w:r>
    </w:p>
    <w:p w14:paraId="446B827B" w14:textId="481612D9" w:rsidR="00EF74CF" w:rsidRDefault="00EF74CF" w:rsidP="00EF74CF">
      <w:pPr>
        <w:outlineLvl w:val="0"/>
        <w:rPr>
          <w:sz w:val="22"/>
          <w:szCs w:val="22"/>
        </w:rPr>
      </w:pPr>
      <w:r>
        <w:rPr>
          <w:sz w:val="22"/>
          <w:szCs w:val="22"/>
          <w:highlight w:val="lightGray"/>
        </w:rPr>
        <w:t>Montant hors TVA:</w:t>
      </w:r>
      <w:r>
        <w:rPr>
          <w:sz w:val="22"/>
          <w:szCs w:val="22"/>
        </w:rPr>
        <w:t xml:space="preserve"> </w:t>
      </w:r>
      <w:r>
        <w:rPr>
          <w:sz w:val="22"/>
          <w:szCs w:val="22"/>
          <w:highlight w:val="yellow"/>
        </w:rPr>
        <w:t>&lt;montant&gt;</w:t>
      </w:r>
      <w:r>
        <w:rPr>
          <w:sz w:val="22"/>
          <w:szCs w:val="22"/>
        </w:rPr>
        <w:t xml:space="preserve"> </w:t>
      </w:r>
      <w:r>
        <w:rPr>
          <w:sz w:val="22"/>
          <w:szCs w:val="22"/>
          <w:highlight w:val="lightGray"/>
        </w:rPr>
        <w:t>Monnaie:</w:t>
      </w:r>
      <w:r>
        <w:rPr>
          <w:sz w:val="22"/>
          <w:szCs w:val="22"/>
        </w:rPr>
        <w:t xml:space="preserve"> </w:t>
      </w:r>
      <w:r>
        <w:rPr>
          <w:sz w:val="22"/>
          <w:szCs w:val="22"/>
          <w:highlight w:val="yellow"/>
        </w:rPr>
        <w:t>&lt;code ISO de la monnaie&gt;</w:t>
      </w:r>
    </w:p>
    <w:p w14:paraId="768488F3" w14:textId="14ABF256" w:rsidR="00221CCE" w:rsidRDefault="00C106C1" w:rsidP="008F66E7">
      <w:pPr>
        <w:jc w:val="both"/>
        <w:outlineLvl w:val="0"/>
        <w:rPr>
          <w:sz w:val="22"/>
          <w:szCs w:val="22"/>
          <w:highlight w:val="yellow"/>
        </w:rPr>
      </w:pPr>
      <w:r>
        <w:rPr>
          <w:sz w:val="22"/>
          <w:szCs w:val="22"/>
          <w:highlight w:val="yellow"/>
        </w:rPr>
        <w:t>Montant total estimé du marché, y compris tous les lots. Dans le cas de marchés de fournitures et de travaux, n’indiquez ni le montant estimé ni le budget disponible. Donnez plutôt une estimation du volume de l’achat (par exemple, le nombre d’articles de fournitures) dans la description (rubrique II.1.4) afin de fournir les éléments nécessaires dans l’appel pour permettre aux opérateurs économiques de préparer et de soumettre les offres.</w:t>
      </w:r>
    </w:p>
    <w:p w14:paraId="6B798358" w14:textId="0D7EDEA2" w:rsidR="00EF74CF" w:rsidRPr="007450A3" w:rsidRDefault="00C70AAE" w:rsidP="008F66E7">
      <w:pPr>
        <w:jc w:val="both"/>
        <w:outlineLvl w:val="0"/>
        <w:rPr>
          <w:sz w:val="22"/>
          <w:szCs w:val="22"/>
          <w:highlight w:val="yellow"/>
        </w:rPr>
      </w:pPr>
      <w:r>
        <w:rPr>
          <w:sz w:val="22"/>
          <w:szCs w:val="22"/>
          <w:highlight w:val="yellow"/>
        </w:rPr>
        <w:t>Utilisez le code ISO de la monnaie nationale uniquement</w:t>
      </w:r>
      <w:r>
        <w:rPr>
          <w:highlight w:val="yellow"/>
        </w:rPr>
        <w:t xml:space="preserve"> dans les cas suivants: i) </w:t>
      </w:r>
      <w:r>
        <w:rPr>
          <w:sz w:val="22"/>
          <w:szCs w:val="22"/>
          <w:highlight w:val="yellow"/>
        </w:rPr>
        <w:t>lorsque des contraintes juridiques ou locales imposent exceptionnellement l’utilisation de la monnaie nationale;</w:t>
      </w:r>
      <w:r>
        <w:rPr>
          <w:highlight w:val="yellow"/>
        </w:rPr>
        <w:t xml:space="preserve"> </w:t>
      </w:r>
      <w:r>
        <w:rPr>
          <w:sz w:val="22"/>
          <w:szCs w:val="22"/>
          <w:highlight w:val="yellow"/>
        </w:rPr>
        <w:t>ii) lorsque cela est nécessaire, pour des marchés relevant de la partie régie d’un devis-programme.</w:t>
      </w:r>
    </w:p>
    <w:p w14:paraId="33FFDFE9" w14:textId="5A39F2E8" w:rsidR="00DB35A9" w:rsidRPr="00375558" w:rsidRDefault="007C201A" w:rsidP="00DB35A9">
      <w:pPr>
        <w:outlineLvl w:val="0"/>
        <w:rPr>
          <w:rStyle w:val="Strong"/>
          <w:sz w:val="22"/>
          <w:szCs w:val="22"/>
          <w:u w:val="single"/>
        </w:rPr>
      </w:pPr>
      <w:r>
        <w:br/>
      </w:r>
      <w:r>
        <w:rPr>
          <w:rStyle w:val="Strong"/>
          <w:sz w:val="22"/>
          <w:szCs w:val="22"/>
          <w:u w:val="single"/>
        </w:rPr>
        <w:t>IV.1.1) Type de procédure</w:t>
      </w:r>
    </w:p>
    <w:p w14:paraId="7A3DC070" w14:textId="77777777" w:rsidR="00DB35A9" w:rsidRPr="003C10AA" w:rsidRDefault="00DB35A9" w:rsidP="00DB35A9">
      <w:pPr>
        <w:outlineLvl w:val="0"/>
        <w:rPr>
          <w:rStyle w:val="Strong"/>
          <w:b w:val="0"/>
          <w:sz w:val="22"/>
          <w:szCs w:val="22"/>
          <w:u w:val="single"/>
        </w:rPr>
      </w:pPr>
      <w:r>
        <w:rPr>
          <w:rStyle w:val="Strong"/>
          <w:b w:val="0"/>
          <w:sz w:val="22"/>
          <w:szCs w:val="22"/>
          <w:highlight w:val="lightGray"/>
          <w:u w:val="single"/>
        </w:rPr>
        <w:t>[Restreinte][Ouverte]</w:t>
      </w:r>
      <w:r>
        <w:t xml:space="preserve"> </w:t>
      </w:r>
      <w:r>
        <w:br/>
      </w:r>
    </w:p>
    <w:p w14:paraId="2E0C7DE0" w14:textId="7D164F6D" w:rsidR="00DB35A9" w:rsidRPr="00D67F00" w:rsidRDefault="00DB35A9" w:rsidP="00DB35A9">
      <w:pPr>
        <w:outlineLvl w:val="0"/>
        <w:rPr>
          <w:rStyle w:val="Strong"/>
          <w:sz w:val="22"/>
          <w:szCs w:val="22"/>
          <w:u w:val="single"/>
        </w:rPr>
      </w:pPr>
      <w:r>
        <w:rPr>
          <w:rStyle w:val="Strong"/>
          <w:b w:val="0"/>
          <w:sz w:val="22"/>
          <w:szCs w:val="22"/>
          <w:highlight w:val="lightGray"/>
          <w:u w:val="single"/>
        </w:rPr>
        <w:t>[</w:t>
      </w:r>
      <w:r>
        <w:rPr>
          <w:rStyle w:val="Strong"/>
          <w:b w:val="0"/>
          <w:sz w:val="22"/>
          <w:szCs w:val="22"/>
          <w:highlight w:val="yellow"/>
          <w:u w:val="single"/>
        </w:rPr>
        <w:t>En cas de publication antérieure d’un avis de préinformation</w:t>
      </w:r>
      <w:r>
        <w:rPr>
          <w:rStyle w:val="Strong"/>
          <w:sz w:val="22"/>
          <w:szCs w:val="22"/>
          <w:u w:val="single"/>
        </w:rPr>
        <w:t xml:space="preserve"> </w:t>
      </w:r>
      <w:r>
        <w:rPr>
          <w:rStyle w:val="Strong"/>
          <w:sz w:val="22"/>
          <w:szCs w:val="22"/>
          <w:highlight w:val="lightGray"/>
          <w:u w:val="single"/>
        </w:rPr>
        <w:t>IV.2.1) Publication antérieure relative à la présente procédure</w:t>
      </w:r>
    </w:p>
    <w:p w14:paraId="3045D783" w14:textId="24E077E1" w:rsidR="00DB35A9" w:rsidRPr="00EF74CF" w:rsidRDefault="00DB35A9" w:rsidP="00DB35A9">
      <w:pPr>
        <w:outlineLvl w:val="0"/>
        <w:rPr>
          <w:rStyle w:val="Strong"/>
          <w:sz w:val="22"/>
          <w:szCs w:val="22"/>
          <w:u w:val="single"/>
        </w:rPr>
      </w:pPr>
      <w:r>
        <w:rPr>
          <w:rStyle w:val="Strong"/>
          <w:b w:val="0"/>
          <w:sz w:val="22"/>
          <w:szCs w:val="22"/>
          <w:highlight w:val="lightGray"/>
        </w:rPr>
        <w:t>Numéro de l’avis au JO S:</w:t>
      </w:r>
      <w:r>
        <w:rPr>
          <w:rStyle w:val="Strong"/>
          <w:b w:val="0"/>
          <w:sz w:val="22"/>
          <w:szCs w:val="22"/>
          <w:highlight w:val="yellow"/>
        </w:rPr>
        <w:t xml:space="preserve"> &lt;numéro à 4 chiffres&gt;/S &lt;numéro à 2 ou 3 chiffres&gt;-&lt;numéro à 5 chiffres&gt;</w:t>
      </w:r>
    </w:p>
    <w:p w14:paraId="2FB0BEEE" w14:textId="6AA21070" w:rsidR="00EF74CF" w:rsidRPr="007C201A" w:rsidRDefault="00B513FE" w:rsidP="00EF74CF">
      <w:pPr>
        <w:outlineLvl w:val="0"/>
        <w:rPr>
          <w:rStyle w:val="Strong"/>
          <w:sz w:val="22"/>
          <w:szCs w:val="22"/>
          <w:highlight w:val="lightGray"/>
          <w:u w:val="single"/>
        </w:rPr>
      </w:pPr>
      <w:r>
        <w:t xml:space="preserve"> </w:t>
      </w:r>
      <w:r>
        <w:br/>
      </w:r>
      <w:r>
        <w:rPr>
          <w:rStyle w:val="Strong"/>
          <w:sz w:val="22"/>
          <w:szCs w:val="22"/>
          <w:u w:val="single"/>
        </w:rPr>
        <w:t>II.1.6) Informations sur les lots</w:t>
      </w:r>
    </w:p>
    <w:p w14:paraId="2A9982F5" w14:textId="4861600B" w:rsidR="00EF74CF" w:rsidRDefault="00EF74CF" w:rsidP="00EF74CF">
      <w:pPr>
        <w:outlineLvl w:val="0"/>
        <w:rPr>
          <w:rStyle w:val="Strong"/>
          <w:b w:val="0"/>
          <w:sz w:val="22"/>
          <w:szCs w:val="22"/>
        </w:rPr>
      </w:pPr>
      <w:r>
        <w:rPr>
          <w:rStyle w:val="Strong"/>
          <w:b w:val="0"/>
          <w:sz w:val="22"/>
          <w:szCs w:val="22"/>
        </w:rPr>
        <w:t>Ce marché est divisé en lots</w:t>
      </w:r>
      <w:r>
        <w:rPr>
          <w:rStyle w:val="Strong"/>
          <w:b w:val="0"/>
          <w:sz w:val="22"/>
          <w:szCs w:val="22"/>
          <w:highlight w:val="lightGray"/>
        </w:rPr>
        <w:t>:</w:t>
      </w:r>
      <w:r>
        <w:rPr>
          <w:rStyle w:val="Strong"/>
          <w:sz w:val="22"/>
          <w:szCs w:val="22"/>
        </w:rPr>
        <w:t xml:space="preserve"> </w:t>
      </w:r>
      <w:r>
        <w:rPr>
          <w:rStyle w:val="Strong"/>
          <w:b w:val="0"/>
          <w:sz w:val="22"/>
          <w:szCs w:val="22"/>
          <w:highlight w:val="lightGray"/>
        </w:rPr>
        <w:t>[oui] [non]</w:t>
      </w:r>
    </w:p>
    <w:p w14:paraId="5AAE6F1F" w14:textId="5AD22B62" w:rsidR="00F3539A" w:rsidRPr="00F3539A" w:rsidRDefault="00F3539A" w:rsidP="00EF74CF">
      <w:pPr>
        <w:outlineLvl w:val="0"/>
        <w:rPr>
          <w:rStyle w:val="Strong"/>
          <w:b w:val="0"/>
          <w:sz w:val="22"/>
          <w:szCs w:val="22"/>
        </w:rPr>
      </w:pPr>
      <w:r>
        <w:rPr>
          <w:rStyle w:val="Strong"/>
          <w:b w:val="0"/>
          <w:sz w:val="22"/>
          <w:szCs w:val="22"/>
          <w:highlight w:val="lightGray"/>
        </w:rPr>
        <w:t>[</w:t>
      </w:r>
      <w:r>
        <w:rPr>
          <w:rStyle w:val="Strong"/>
          <w:b w:val="0"/>
          <w:sz w:val="22"/>
          <w:szCs w:val="22"/>
          <w:highlight w:val="yellow"/>
        </w:rPr>
        <w:t>En cas de lots</w:t>
      </w:r>
      <w:r>
        <w:rPr>
          <w:rStyle w:val="Strong"/>
          <w:b w:val="0"/>
          <w:sz w:val="22"/>
          <w:szCs w:val="22"/>
        </w:rPr>
        <w:t xml:space="preserve"> </w:t>
      </w:r>
      <w:r>
        <w:rPr>
          <w:rStyle w:val="Strong"/>
          <w:b w:val="0"/>
          <w:sz w:val="22"/>
          <w:szCs w:val="22"/>
          <w:highlight w:val="lightGray"/>
        </w:rPr>
        <w:t>Les offres peuvent être soumises pour:</w:t>
      </w:r>
      <w:r>
        <w:t xml:space="preserve"> </w:t>
      </w:r>
      <w:r>
        <w:br/>
      </w:r>
      <w:r>
        <w:rPr>
          <w:rStyle w:val="Strong"/>
          <w:b w:val="0"/>
          <w:sz w:val="22"/>
          <w:szCs w:val="22"/>
          <w:highlight w:val="lightGray"/>
        </w:rPr>
        <w:t>[l’ensemble des lots]</w:t>
      </w:r>
      <w:r>
        <w:br/>
      </w:r>
      <w:r>
        <w:rPr>
          <w:rStyle w:val="Strong"/>
          <w:b w:val="0"/>
          <w:sz w:val="22"/>
          <w:szCs w:val="22"/>
          <w:highlight w:val="lightGray"/>
        </w:rPr>
        <w:t>[un nombre maximal de lots: [</w:t>
      </w:r>
      <w:r>
        <w:rPr>
          <w:rStyle w:val="Strong"/>
          <w:b w:val="0"/>
          <w:sz w:val="22"/>
          <w:szCs w:val="22"/>
          <w:highlight w:val="yellow"/>
        </w:rPr>
        <w:t>nombre de lots</w:t>
      </w:r>
      <w:r>
        <w:rPr>
          <w:rStyle w:val="Strong"/>
          <w:b w:val="0"/>
          <w:sz w:val="22"/>
          <w:szCs w:val="22"/>
          <w:highlight w:val="lightGray"/>
        </w:rPr>
        <w:t>]]</w:t>
      </w:r>
      <w:r>
        <w:br/>
      </w:r>
      <w:r>
        <w:rPr>
          <w:rStyle w:val="Strong"/>
          <w:b w:val="0"/>
          <w:sz w:val="22"/>
          <w:szCs w:val="22"/>
          <w:highlight w:val="lightGray"/>
        </w:rPr>
        <w:t>[un seul lot]]</w:t>
      </w:r>
    </w:p>
    <w:p w14:paraId="3F22C197" w14:textId="525DFB7F" w:rsidR="00DB35A9" w:rsidRPr="00D67F00" w:rsidRDefault="00EF74CF" w:rsidP="008F66E7">
      <w:pPr>
        <w:outlineLvl w:val="0"/>
        <w:rPr>
          <w:b/>
          <w:sz w:val="22"/>
          <w:szCs w:val="22"/>
          <w:u w:val="single"/>
        </w:rPr>
      </w:pPr>
      <w:r>
        <w:t xml:space="preserve"> </w:t>
      </w:r>
      <w:r>
        <w:br/>
        <w:t xml:space="preserve"> </w:t>
      </w:r>
      <w:r>
        <w:br/>
      </w:r>
      <w:r>
        <w:rPr>
          <w:rStyle w:val="Strong"/>
          <w:sz w:val="22"/>
          <w:szCs w:val="22"/>
          <w:u w:val="single"/>
        </w:rPr>
        <w:lastRenderedPageBreak/>
        <w:t>APPEL D’OFFRES: INFORMATIONS PAR LOT</w:t>
      </w:r>
    </w:p>
    <w:p w14:paraId="21580E19" w14:textId="3EEEE945" w:rsidR="00DB35A9" w:rsidRPr="007C201A" w:rsidRDefault="00D67F00" w:rsidP="00EF74CF">
      <w:pPr>
        <w:outlineLvl w:val="0"/>
        <w:rPr>
          <w:rStyle w:val="Strong"/>
          <w:sz w:val="22"/>
          <w:szCs w:val="22"/>
        </w:rPr>
      </w:pPr>
      <w:r>
        <w:rPr>
          <w:rStyle w:val="Emphasis"/>
          <w:i w:val="0"/>
          <w:sz w:val="22"/>
          <w:szCs w:val="22"/>
          <w:highlight w:val="yellow"/>
        </w:rPr>
        <w:t>S’il n’y a pas de lots, les informations ci-dessous ne doivent être remplies qu’une seule fois.</w:t>
      </w:r>
      <w:r>
        <w:rPr>
          <w:rStyle w:val="Strong"/>
          <w:sz w:val="22"/>
          <w:szCs w:val="22"/>
          <w:highlight w:val="yellow"/>
        </w:rPr>
        <w:t xml:space="preserve"> </w:t>
      </w:r>
      <w:r>
        <w:rPr>
          <w:rStyle w:val="Emphasis"/>
          <w:i w:val="0"/>
          <w:sz w:val="22"/>
          <w:szCs w:val="22"/>
          <w:highlight w:val="yellow"/>
        </w:rPr>
        <w:t>En cas de lots, les informations ci-dessous doivent être répétées en fonction du nombre de lots.</w:t>
      </w:r>
    </w:p>
    <w:p w14:paraId="74D0C8C5" w14:textId="237C8C2F" w:rsidR="000503A2" w:rsidRDefault="00EF74CF" w:rsidP="00EF74CF">
      <w:pPr>
        <w:outlineLvl w:val="0"/>
        <w:rPr>
          <w:rStyle w:val="Strong"/>
          <w:b w:val="0"/>
          <w:sz w:val="22"/>
          <w:szCs w:val="22"/>
          <w:highlight w:val="yellow"/>
          <w:u w:val="single"/>
        </w:rPr>
      </w:pPr>
      <w:r>
        <w:rPr>
          <w:rStyle w:val="Strong"/>
          <w:sz w:val="22"/>
          <w:szCs w:val="22"/>
          <w:u w:val="single"/>
        </w:rPr>
        <w:t>II.2) Description</w:t>
      </w:r>
      <w:r>
        <w:br/>
      </w:r>
      <w:r>
        <w:br/>
      </w:r>
      <w:r>
        <w:rPr>
          <w:rStyle w:val="Emphasis"/>
          <w:i w:val="0"/>
          <w:sz w:val="22"/>
          <w:szCs w:val="22"/>
          <w:highlight w:val="yellow"/>
        </w:rPr>
        <w:t xml:space="preserve">[En cas de lots </w:t>
      </w:r>
      <w:r>
        <w:rPr>
          <w:rStyle w:val="Strong"/>
          <w:sz w:val="22"/>
          <w:szCs w:val="22"/>
          <w:highlight w:val="lightGray"/>
        </w:rPr>
        <w:t>II.2.1)</w:t>
      </w:r>
      <w:r>
        <w:br/>
      </w:r>
      <w:r>
        <w:rPr>
          <w:rStyle w:val="Strong"/>
          <w:b w:val="0"/>
          <w:sz w:val="22"/>
          <w:szCs w:val="22"/>
          <w:highlight w:val="lightGray"/>
        </w:rPr>
        <w:t>Lot nº &lt;numéro&gt;</w:t>
      </w:r>
      <w:r>
        <w:br/>
      </w:r>
      <w:r>
        <w:rPr>
          <w:rStyle w:val="Strong"/>
          <w:b w:val="0"/>
          <w:sz w:val="22"/>
          <w:szCs w:val="22"/>
          <w:highlight w:val="lightGray"/>
        </w:rPr>
        <w:t>Intitulé: &lt;intitulé du lot&gt;]</w:t>
      </w:r>
    </w:p>
    <w:p w14:paraId="37264C52" w14:textId="6B51AF35" w:rsidR="00306BCE" w:rsidRDefault="00C06736" w:rsidP="00EF74CF">
      <w:pPr>
        <w:outlineLvl w:val="0"/>
        <w:rPr>
          <w:rStyle w:val="Strong"/>
          <w:sz w:val="22"/>
          <w:szCs w:val="22"/>
          <w:u w:val="single"/>
        </w:rPr>
      </w:pPr>
      <w:r>
        <w:rPr>
          <w:rStyle w:val="Strong"/>
          <w:b w:val="0"/>
          <w:sz w:val="22"/>
          <w:szCs w:val="22"/>
          <w:highlight w:val="yellow"/>
          <w:u w:val="single"/>
        </w:rPr>
        <w:t>[En cas de lots,</w:t>
      </w:r>
      <w:r>
        <w:rPr>
          <w:sz w:val="18"/>
          <w:szCs w:val="18"/>
          <w:highlight w:val="yellow"/>
        </w:rPr>
        <w:t xml:space="preserve"> </w:t>
      </w:r>
      <w:r>
        <w:rPr>
          <w:sz w:val="22"/>
          <w:szCs w:val="22"/>
          <w:highlight w:val="yellow"/>
        </w:rPr>
        <w:t>chaque lot doit avoir au moins un code CPV. Pour plus d’informations sur les codes CPV, voir la rubrique II.1.2.</w:t>
      </w:r>
    </w:p>
    <w:p w14:paraId="7AA216B3" w14:textId="4794EBC9" w:rsidR="00524367" w:rsidRPr="008F66E7" w:rsidRDefault="00524367" w:rsidP="00EF74CF">
      <w:pPr>
        <w:outlineLvl w:val="0"/>
        <w:rPr>
          <w:rStyle w:val="Strong"/>
          <w:b w:val="0"/>
          <w:sz w:val="22"/>
          <w:szCs w:val="22"/>
        </w:rPr>
      </w:pPr>
      <w:r>
        <w:rPr>
          <w:rStyle w:val="Strong"/>
          <w:sz w:val="22"/>
          <w:szCs w:val="22"/>
          <w:highlight w:val="lightGray"/>
        </w:rPr>
        <w:t>II.2.2) Code(s) CPV supplémentaire(s)</w:t>
      </w:r>
    </w:p>
    <w:p w14:paraId="5354A0CB" w14:textId="150F84EB" w:rsidR="00947EF4" w:rsidRPr="008F66E7" w:rsidRDefault="00947EF4" w:rsidP="00EF74CF">
      <w:pPr>
        <w:outlineLvl w:val="0"/>
        <w:rPr>
          <w:rStyle w:val="Emphasis"/>
          <w:i w:val="0"/>
          <w:sz w:val="22"/>
          <w:szCs w:val="22"/>
        </w:rPr>
      </w:pPr>
      <w:r>
        <w:rPr>
          <w:rStyle w:val="Strong"/>
          <w:b w:val="0"/>
          <w:sz w:val="22"/>
          <w:szCs w:val="22"/>
          <w:highlight w:val="lightGray"/>
        </w:rPr>
        <w:t>Code CPV principal</w:t>
      </w:r>
      <w:r>
        <w:rPr>
          <w:rStyle w:val="Strong"/>
          <w:sz w:val="22"/>
          <w:szCs w:val="22"/>
          <w:highlight w:val="lightGray"/>
        </w:rPr>
        <w:t xml:space="preserve"> &lt;</w:t>
      </w:r>
      <w:r>
        <w:rPr>
          <w:rStyle w:val="Strong"/>
          <w:b w:val="0"/>
          <w:sz w:val="22"/>
          <w:szCs w:val="22"/>
          <w:highlight w:val="lightGray"/>
        </w:rPr>
        <w:t>[ ][ ].[ ][ ].[ ][ ].[ ][ ]&gt;</w:t>
      </w:r>
      <w:r>
        <w:rPr>
          <w:rStyle w:val="Strong"/>
          <w:b w:val="0"/>
          <w:sz w:val="22"/>
          <w:szCs w:val="22"/>
        </w:rPr>
        <w:t xml:space="preserve"> </w:t>
      </w:r>
      <w:r>
        <w:rPr>
          <w:rStyle w:val="Strong"/>
          <w:b w:val="0"/>
          <w:sz w:val="22"/>
          <w:szCs w:val="22"/>
          <w:highlight w:val="yellow"/>
        </w:rPr>
        <w:t xml:space="preserve">le cas échéant </w:t>
      </w:r>
      <w:r>
        <w:rPr>
          <w:rStyle w:val="Strong"/>
          <w:b w:val="0"/>
          <w:sz w:val="22"/>
          <w:szCs w:val="22"/>
          <w:highlight w:val="lightGray"/>
        </w:rPr>
        <w:t>Code CPV supplémentaire &lt;[ ][ ][ ][ ]&gt; ]</w:t>
      </w:r>
    </w:p>
    <w:p w14:paraId="7579633B" w14:textId="63C013FD" w:rsidR="00EF74CF" w:rsidRPr="00D67F00" w:rsidRDefault="00EF74CF" w:rsidP="00EF74CF">
      <w:pPr>
        <w:outlineLvl w:val="0"/>
        <w:rPr>
          <w:rStyle w:val="Strong"/>
          <w:sz w:val="22"/>
          <w:szCs w:val="22"/>
          <w:highlight w:val="lightGray"/>
          <w:u w:val="single"/>
        </w:rPr>
      </w:pPr>
      <w:r>
        <w:t xml:space="preserve"> </w:t>
      </w:r>
      <w:r>
        <w:br/>
      </w:r>
      <w:r>
        <w:rPr>
          <w:rStyle w:val="Strong"/>
          <w:sz w:val="22"/>
          <w:szCs w:val="22"/>
          <w:u w:val="single"/>
        </w:rPr>
        <w:t>II.2.3) Lieu d’exécution</w:t>
      </w:r>
    </w:p>
    <w:p w14:paraId="4CE0C066" w14:textId="79EB8E03" w:rsidR="00EF74CF" w:rsidRDefault="00CC6D8C" w:rsidP="00EF74CF">
      <w:pPr>
        <w:outlineLvl w:val="0"/>
        <w:rPr>
          <w:rStyle w:val="Strong"/>
          <w:b w:val="0"/>
          <w:sz w:val="22"/>
          <w:szCs w:val="22"/>
        </w:rPr>
      </w:pPr>
      <w:r>
        <w:rPr>
          <w:rStyle w:val="Strong"/>
          <w:b w:val="0"/>
          <w:sz w:val="22"/>
          <w:szCs w:val="22"/>
        </w:rPr>
        <w:t xml:space="preserve">Zone géographique bénéficiaire de l’action: </w:t>
      </w:r>
      <w:r>
        <w:rPr>
          <w:rStyle w:val="Strong"/>
          <w:b w:val="0"/>
          <w:sz w:val="22"/>
          <w:szCs w:val="22"/>
          <w:highlight w:val="yellow"/>
        </w:rPr>
        <w:t>&lt;zone bénéficiaire du programme&gt;</w:t>
      </w:r>
    </w:p>
    <w:p w14:paraId="6541ED88" w14:textId="1AEB4997" w:rsidR="00EF74CF" w:rsidRPr="00D67F00" w:rsidRDefault="003C10AA" w:rsidP="00EF74CF">
      <w:pPr>
        <w:outlineLvl w:val="0"/>
        <w:rPr>
          <w:rStyle w:val="Strong"/>
          <w:sz w:val="22"/>
          <w:szCs w:val="22"/>
          <w:u w:val="single"/>
        </w:rPr>
      </w:pPr>
      <w:r>
        <w:t xml:space="preserve"> </w:t>
      </w:r>
      <w:r>
        <w:br/>
      </w:r>
      <w:r>
        <w:rPr>
          <w:rStyle w:val="Strong"/>
          <w:sz w:val="22"/>
          <w:szCs w:val="22"/>
          <w:u w:val="single"/>
        </w:rPr>
        <w:t>II.2.5) Critères d’attribution</w:t>
      </w:r>
    </w:p>
    <w:p w14:paraId="2D426A80" w14:textId="77777777" w:rsidR="00EF74CF" w:rsidRDefault="00EF74CF" w:rsidP="00EF74CF">
      <w:pPr>
        <w:outlineLvl w:val="0"/>
        <w:rPr>
          <w:sz w:val="22"/>
          <w:szCs w:val="22"/>
        </w:rPr>
      </w:pPr>
      <w:r>
        <w:rPr>
          <w:rStyle w:val="Strong"/>
          <w:b w:val="0"/>
          <w:sz w:val="22"/>
          <w:szCs w:val="22"/>
          <w:highlight w:val="lightGray"/>
        </w:rPr>
        <w:t>[Prix]</w:t>
      </w:r>
      <w:r>
        <w:br/>
      </w:r>
      <w:r>
        <w:br/>
      </w:r>
      <w:r>
        <w:rPr>
          <w:rStyle w:val="Strong"/>
          <w:sz w:val="22"/>
          <w:szCs w:val="22"/>
          <w:highlight w:val="lightGray"/>
        </w:rPr>
        <w:t>[</w:t>
      </w:r>
      <w:r>
        <w:rPr>
          <w:sz w:val="22"/>
          <w:szCs w:val="22"/>
          <w:highlight w:val="lightGray"/>
        </w:rPr>
        <w:t>Le prix n’est pas le seul critère d’attribution et tous les critères sont énoncés uniquement dans les documents de marché.]</w:t>
      </w:r>
    </w:p>
    <w:p w14:paraId="29398B5C" w14:textId="77777777" w:rsidR="004E29A2" w:rsidRDefault="003C10AA" w:rsidP="00EF74CF">
      <w:pPr>
        <w:outlineLvl w:val="0"/>
        <w:rPr>
          <w:sz w:val="22"/>
          <w:szCs w:val="22"/>
          <w:highlight w:val="yellow"/>
        </w:rPr>
      </w:pPr>
      <w:r>
        <w:t xml:space="preserve"> </w:t>
      </w:r>
      <w:r>
        <w:br/>
      </w:r>
      <w:r>
        <w:rPr>
          <w:b/>
          <w:sz w:val="22"/>
          <w:szCs w:val="22"/>
          <w:highlight w:val="lightGray"/>
        </w:rPr>
        <w:t>[</w:t>
      </w:r>
      <w:r>
        <w:rPr>
          <w:sz w:val="22"/>
          <w:szCs w:val="22"/>
          <w:highlight w:val="yellow"/>
        </w:rPr>
        <w:t>Pour les marchés de services: en cas de lots, montant estimé de chaque lot:</w:t>
      </w:r>
    </w:p>
    <w:p w14:paraId="67FC8026" w14:textId="59E9E41D" w:rsidR="00EF74CF" w:rsidRPr="00516F45" w:rsidRDefault="00EF74CF" w:rsidP="00EF74CF">
      <w:pPr>
        <w:outlineLvl w:val="0"/>
        <w:rPr>
          <w:rStyle w:val="Strong"/>
          <w:b w:val="0"/>
          <w:sz w:val="22"/>
          <w:szCs w:val="22"/>
          <w:highlight w:val="lightGray"/>
        </w:rPr>
      </w:pPr>
      <w:r>
        <w:rPr>
          <w:b/>
          <w:sz w:val="22"/>
          <w:szCs w:val="22"/>
          <w:highlight w:val="lightGray"/>
          <w:u w:val="single"/>
        </w:rPr>
        <w:t>II.2.6) Montant estimé</w:t>
      </w:r>
    </w:p>
    <w:p w14:paraId="5CCD0EDD" w14:textId="0182D489" w:rsidR="00EF74CF" w:rsidRDefault="00EF74CF" w:rsidP="00EF74CF">
      <w:pPr>
        <w:outlineLvl w:val="0"/>
        <w:rPr>
          <w:sz w:val="22"/>
          <w:szCs w:val="22"/>
        </w:rPr>
      </w:pPr>
      <w:r>
        <w:rPr>
          <w:sz w:val="22"/>
          <w:szCs w:val="22"/>
          <w:highlight w:val="lightGray"/>
        </w:rPr>
        <w:t>Montant hors TVA</w:t>
      </w:r>
      <w:r>
        <w:rPr>
          <w:sz w:val="22"/>
          <w:szCs w:val="22"/>
        </w:rPr>
        <w:t xml:space="preserve">: </w:t>
      </w:r>
      <w:r>
        <w:rPr>
          <w:sz w:val="22"/>
          <w:szCs w:val="22"/>
          <w:highlight w:val="yellow"/>
        </w:rPr>
        <w:t>&lt;montant&gt;</w:t>
      </w:r>
      <w:r>
        <w:rPr>
          <w:sz w:val="22"/>
          <w:szCs w:val="22"/>
        </w:rPr>
        <w:t xml:space="preserve"> </w:t>
      </w:r>
      <w:r>
        <w:rPr>
          <w:sz w:val="22"/>
          <w:szCs w:val="22"/>
          <w:highlight w:val="lightGray"/>
        </w:rPr>
        <w:t>Monnaie:</w:t>
      </w:r>
      <w:r>
        <w:rPr>
          <w:sz w:val="22"/>
          <w:szCs w:val="22"/>
        </w:rPr>
        <w:t xml:space="preserve"> </w:t>
      </w:r>
      <w:r>
        <w:rPr>
          <w:sz w:val="22"/>
          <w:szCs w:val="22"/>
          <w:highlight w:val="yellow"/>
        </w:rPr>
        <w:t>&lt;code ISO de la monnaie&gt;</w:t>
      </w:r>
      <w:r>
        <w:rPr>
          <w:sz w:val="22"/>
          <w:szCs w:val="22"/>
          <w:highlight w:val="lightGray"/>
        </w:rPr>
        <w:t>]]</w:t>
      </w:r>
    </w:p>
    <w:p w14:paraId="41C0250D" w14:textId="77777777" w:rsidR="00EF74CF" w:rsidRPr="00D67F00" w:rsidRDefault="00EF74CF" w:rsidP="00EF74CF">
      <w:pPr>
        <w:outlineLvl w:val="0"/>
        <w:rPr>
          <w:rStyle w:val="Strong"/>
          <w:sz w:val="22"/>
          <w:szCs w:val="22"/>
          <w:u w:val="single"/>
        </w:rPr>
      </w:pPr>
      <w:r>
        <w:t xml:space="preserve"> </w:t>
      </w:r>
      <w:r>
        <w:br/>
      </w:r>
      <w:r>
        <w:rPr>
          <w:rStyle w:val="Strong"/>
          <w:sz w:val="22"/>
          <w:szCs w:val="22"/>
          <w:u w:val="single"/>
        </w:rPr>
        <w:t>II.2.14) Informations complémentaires</w:t>
      </w:r>
    </w:p>
    <w:p w14:paraId="035A4BBA" w14:textId="17B7C25D" w:rsidR="00EF74CF" w:rsidRPr="00EF74CF" w:rsidRDefault="00104727" w:rsidP="00EF74CF">
      <w:pPr>
        <w:outlineLvl w:val="0"/>
        <w:rPr>
          <w:rStyle w:val="Strong"/>
          <w:b w:val="0"/>
          <w:sz w:val="22"/>
          <w:szCs w:val="22"/>
        </w:rPr>
      </w:pPr>
      <w:r>
        <w:rPr>
          <w:rStyle w:val="Strong"/>
          <w:b w:val="0"/>
          <w:sz w:val="22"/>
          <w:szCs w:val="22"/>
        </w:rPr>
        <w:t>Répétition de s</w:t>
      </w:r>
      <w:r w:rsidR="00EF74CF">
        <w:rPr>
          <w:rStyle w:val="Strong"/>
          <w:b w:val="0"/>
          <w:sz w:val="22"/>
          <w:szCs w:val="22"/>
        </w:rPr>
        <w:t>ervices/travaux s</w:t>
      </w:r>
      <w:r>
        <w:rPr>
          <w:rStyle w:val="Strong"/>
          <w:b w:val="0"/>
          <w:sz w:val="22"/>
          <w:szCs w:val="22"/>
        </w:rPr>
        <w:t xml:space="preserve">imilaires </w:t>
      </w:r>
    </w:p>
    <w:p w14:paraId="697C1202" w14:textId="77777777" w:rsidR="006C0693" w:rsidRDefault="00D44E75" w:rsidP="00BB3DD7">
      <w:pPr>
        <w:jc w:val="both"/>
        <w:outlineLvl w:val="0"/>
        <w:rPr>
          <w:rStyle w:val="Strong"/>
          <w:b w:val="0"/>
          <w:sz w:val="22"/>
          <w:szCs w:val="22"/>
        </w:rPr>
      </w:pPr>
      <w:r>
        <w:rPr>
          <w:rStyle w:val="Strong"/>
          <w:b w:val="0"/>
          <w:sz w:val="22"/>
          <w:szCs w:val="22"/>
        </w:rPr>
        <w:t>Pour autant qu’ils soient conformes au projet de base, de nouveaux services ou travaux consistant dans la répétition de services ou travaux similaires peuvent être confiés, jusqu’à concurrence de [</w:t>
      </w:r>
      <w:r>
        <w:rPr>
          <w:rStyle w:val="Strong"/>
          <w:b w:val="0"/>
          <w:sz w:val="22"/>
          <w:szCs w:val="22"/>
          <w:highlight w:val="yellow"/>
        </w:rPr>
        <w:t>pourcentage</w:t>
      </w:r>
      <w:r>
        <w:rPr>
          <w:rStyle w:val="Strong"/>
          <w:b w:val="0"/>
          <w:sz w:val="22"/>
          <w:szCs w:val="22"/>
        </w:rPr>
        <w:t>] du marché initial, au contractant initial au moyen d’une procédure négociée sans publication préalable d’un avis de marché.</w:t>
      </w:r>
    </w:p>
    <w:p w14:paraId="4772D783" w14:textId="6A0C19CE" w:rsidR="00CC6D8C" w:rsidRPr="00D67F00" w:rsidRDefault="00D67F00" w:rsidP="00CC6D8C">
      <w:pPr>
        <w:outlineLvl w:val="0"/>
        <w:rPr>
          <w:rStyle w:val="Strong"/>
          <w:sz w:val="22"/>
          <w:szCs w:val="22"/>
          <w:u w:val="single"/>
        </w:rPr>
      </w:pPr>
      <w:r>
        <w:br/>
      </w:r>
      <w:r>
        <w:rPr>
          <w:rStyle w:val="Strong"/>
          <w:sz w:val="22"/>
          <w:szCs w:val="22"/>
          <w:u w:val="single"/>
        </w:rPr>
        <w:t>IV.2.2) Date limite de soumission des offres ou des demandes de participation</w:t>
      </w:r>
    </w:p>
    <w:p w14:paraId="1BC28BB7" w14:textId="2FF24BE8" w:rsidR="00CC6D8C" w:rsidRPr="00F82AA4" w:rsidRDefault="00CC6D8C" w:rsidP="00CC6D8C">
      <w:pPr>
        <w:outlineLvl w:val="0"/>
        <w:rPr>
          <w:rStyle w:val="Strong"/>
          <w:b w:val="0"/>
          <w:sz w:val="22"/>
          <w:szCs w:val="22"/>
        </w:rPr>
      </w:pPr>
      <w:r>
        <w:rPr>
          <w:rStyle w:val="Strong"/>
          <w:b w:val="0"/>
          <w:sz w:val="22"/>
          <w:szCs w:val="22"/>
        </w:rPr>
        <w:t xml:space="preserve">Date: </w:t>
      </w:r>
      <w:r>
        <w:rPr>
          <w:rStyle w:val="Strong"/>
          <w:b w:val="0"/>
          <w:sz w:val="22"/>
          <w:szCs w:val="22"/>
          <w:highlight w:val="yellow"/>
        </w:rPr>
        <w:t>&lt;jj/mm/aaaa&gt;</w:t>
      </w:r>
      <w:r>
        <w:br/>
      </w:r>
      <w:r>
        <w:rPr>
          <w:rStyle w:val="Strong"/>
          <w:b w:val="0"/>
          <w:sz w:val="22"/>
          <w:szCs w:val="22"/>
        </w:rPr>
        <w:t>Heure locale [</w:t>
      </w:r>
      <w:r>
        <w:rPr>
          <w:rStyle w:val="Strong"/>
          <w:b w:val="0"/>
          <w:sz w:val="22"/>
          <w:szCs w:val="22"/>
          <w:highlight w:val="yellow"/>
        </w:rPr>
        <w:t>en cas de publication via PPMT:</w:t>
      </w:r>
      <w:r>
        <w:rPr>
          <w:rStyle w:val="Strong"/>
          <w:b w:val="0"/>
          <w:sz w:val="22"/>
          <w:szCs w:val="22"/>
        </w:rPr>
        <w:t xml:space="preserve"> </w:t>
      </w:r>
      <w:r>
        <w:rPr>
          <w:rStyle w:val="Strong"/>
          <w:b w:val="0"/>
          <w:sz w:val="22"/>
          <w:szCs w:val="22"/>
          <w:highlight w:val="lightGray"/>
        </w:rPr>
        <w:t>(heure d’Europe centrale)</w:t>
      </w:r>
      <w:r>
        <w:rPr>
          <w:rStyle w:val="Strong"/>
          <w:b w:val="0"/>
          <w:sz w:val="22"/>
          <w:szCs w:val="22"/>
        </w:rPr>
        <w:t xml:space="preserve">]: </w:t>
      </w:r>
      <w:r>
        <w:rPr>
          <w:rStyle w:val="Strong"/>
          <w:b w:val="0"/>
          <w:sz w:val="22"/>
          <w:szCs w:val="22"/>
          <w:highlight w:val="yellow"/>
        </w:rPr>
        <w:t>&lt;hh/mm&gt;</w:t>
      </w:r>
    </w:p>
    <w:p w14:paraId="1176BE21" w14:textId="43A2ED9E" w:rsidR="00CC6D8C" w:rsidRPr="007C201A" w:rsidRDefault="00CC6D8C" w:rsidP="00CC6D8C">
      <w:pPr>
        <w:outlineLvl w:val="0"/>
        <w:rPr>
          <w:rStyle w:val="Strong"/>
          <w:sz w:val="22"/>
          <w:szCs w:val="22"/>
          <w:u w:val="single"/>
        </w:rPr>
      </w:pPr>
      <w:r>
        <w:t xml:space="preserve"> </w:t>
      </w:r>
      <w:r>
        <w:br/>
      </w:r>
      <w:r>
        <w:rPr>
          <w:rStyle w:val="Strong"/>
          <w:sz w:val="22"/>
          <w:szCs w:val="22"/>
          <w:u w:val="single"/>
        </w:rPr>
        <w:lastRenderedPageBreak/>
        <w:t>IV.2.6) Délai minimal pendant lequel le soumissionnaire est tenu de maintenir son offre</w:t>
      </w:r>
    </w:p>
    <w:p w14:paraId="1368B8E1" w14:textId="53667BB9" w:rsidR="00CC6D8C" w:rsidRPr="00F82AA4" w:rsidRDefault="00CC6D8C" w:rsidP="00CC6D8C">
      <w:pPr>
        <w:outlineLvl w:val="0"/>
        <w:rPr>
          <w:rStyle w:val="Strong"/>
          <w:b w:val="0"/>
          <w:sz w:val="22"/>
          <w:szCs w:val="22"/>
        </w:rPr>
      </w:pPr>
      <w:r>
        <w:rPr>
          <w:rStyle w:val="Strong"/>
          <w:b w:val="0"/>
          <w:sz w:val="22"/>
          <w:szCs w:val="22"/>
        </w:rPr>
        <w:t xml:space="preserve">Durée en mois: </w:t>
      </w:r>
      <w:r>
        <w:rPr>
          <w:rStyle w:val="Strong"/>
          <w:b w:val="0"/>
          <w:sz w:val="22"/>
          <w:szCs w:val="22"/>
          <w:highlight w:val="yellow"/>
        </w:rPr>
        <w:t>&lt;nombre de mois&gt;</w:t>
      </w:r>
      <w:r>
        <w:rPr>
          <w:rStyle w:val="Strong"/>
          <w:b w:val="0"/>
          <w:sz w:val="22"/>
          <w:szCs w:val="22"/>
        </w:rPr>
        <w:t xml:space="preserve"> (à compter de la date limite de réception des offres)</w:t>
      </w:r>
    </w:p>
    <w:p w14:paraId="33894EC1" w14:textId="72E9E19A" w:rsidR="00CC6D8C" w:rsidRPr="007C201A" w:rsidRDefault="00CC6D8C" w:rsidP="00CC6D8C">
      <w:pPr>
        <w:outlineLvl w:val="0"/>
        <w:rPr>
          <w:rStyle w:val="Strong"/>
          <w:sz w:val="22"/>
          <w:szCs w:val="22"/>
          <w:u w:val="single"/>
        </w:rPr>
      </w:pPr>
      <w:r>
        <w:br/>
      </w:r>
      <w:r>
        <w:rPr>
          <w:rStyle w:val="Strong"/>
          <w:sz w:val="22"/>
          <w:szCs w:val="22"/>
          <w:u w:val="single"/>
        </w:rPr>
        <w:t>IV.2.7) Modalité d’ouverture des offres</w:t>
      </w:r>
    </w:p>
    <w:p w14:paraId="4B3F0DCB" w14:textId="37C3F38B" w:rsidR="00DE28AE" w:rsidRPr="00D225CC" w:rsidRDefault="00CC6D8C" w:rsidP="008F66E7">
      <w:pPr>
        <w:outlineLvl w:val="0"/>
      </w:pPr>
      <w:r>
        <w:rPr>
          <w:rStyle w:val="Strong"/>
          <w:b w:val="0"/>
          <w:sz w:val="22"/>
          <w:szCs w:val="22"/>
        </w:rPr>
        <w:t>Date:</w:t>
      </w:r>
      <w:r>
        <w:rPr>
          <w:rStyle w:val="Strong"/>
          <w:b w:val="0"/>
          <w:sz w:val="22"/>
          <w:szCs w:val="22"/>
          <w:u w:val="single"/>
        </w:rPr>
        <w:t xml:space="preserve"> </w:t>
      </w:r>
      <w:r>
        <w:rPr>
          <w:rStyle w:val="Strong"/>
          <w:b w:val="0"/>
          <w:sz w:val="22"/>
          <w:szCs w:val="22"/>
          <w:highlight w:val="yellow"/>
        </w:rPr>
        <w:t>&lt;jj/mm/aaaa&gt;</w:t>
      </w:r>
      <w:r>
        <w:br/>
      </w:r>
      <w:r>
        <w:rPr>
          <w:rStyle w:val="Strong"/>
          <w:b w:val="0"/>
          <w:sz w:val="22"/>
          <w:szCs w:val="22"/>
        </w:rPr>
        <w:t>Heure locale [</w:t>
      </w:r>
      <w:r>
        <w:rPr>
          <w:rStyle w:val="Strong"/>
          <w:b w:val="0"/>
          <w:sz w:val="22"/>
          <w:szCs w:val="22"/>
          <w:highlight w:val="yellow"/>
        </w:rPr>
        <w:t>en cas de publication via PPMT:</w:t>
      </w:r>
      <w:r>
        <w:rPr>
          <w:rStyle w:val="Strong"/>
          <w:b w:val="0"/>
          <w:sz w:val="22"/>
          <w:szCs w:val="22"/>
        </w:rPr>
        <w:t xml:space="preserve"> </w:t>
      </w:r>
      <w:r>
        <w:rPr>
          <w:rStyle w:val="Strong"/>
          <w:b w:val="0"/>
          <w:sz w:val="22"/>
          <w:szCs w:val="22"/>
          <w:highlight w:val="lightGray"/>
        </w:rPr>
        <w:t>(heure d’Europe centrale)</w:t>
      </w:r>
      <w:r>
        <w:rPr>
          <w:rStyle w:val="Strong"/>
          <w:b w:val="0"/>
          <w:sz w:val="22"/>
          <w:szCs w:val="22"/>
        </w:rPr>
        <w:t>]</w:t>
      </w:r>
      <w:r>
        <w:rPr>
          <w:rStyle w:val="Strong"/>
          <w:b w:val="0"/>
          <w:sz w:val="22"/>
          <w:szCs w:val="22"/>
          <w:u w:val="single"/>
        </w:rPr>
        <w:t xml:space="preserve">: </w:t>
      </w:r>
      <w:r>
        <w:rPr>
          <w:rStyle w:val="Strong"/>
          <w:b w:val="0"/>
          <w:sz w:val="22"/>
          <w:szCs w:val="22"/>
          <w:highlight w:val="yellow"/>
        </w:rPr>
        <w:t>&lt;hh/mm&gt;</w:t>
      </w:r>
      <w:r>
        <w:br/>
      </w:r>
      <w:r>
        <w:rPr>
          <w:rStyle w:val="Strong"/>
          <w:b w:val="0"/>
          <w:sz w:val="22"/>
          <w:szCs w:val="22"/>
        </w:rPr>
        <w:t xml:space="preserve">Lieu: </w:t>
      </w:r>
      <w:r>
        <w:rPr>
          <w:rStyle w:val="Strong"/>
          <w:b w:val="0"/>
          <w:sz w:val="22"/>
          <w:szCs w:val="22"/>
          <w:highlight w:val="yellow"/>
        </w:rPr>
        <w:t>&lt;lieu&gt;</w:t>
      </w:r>
      <w:r>
        <w:t xml:space="preserve"> </w:t>
      </w:r>
      <w:r>
        <w:br/>
      </w:r>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5F9D" w14:textId="77777777" w:rsidR="008F1814" w:rsidRDefault="008F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0AEDBF7C" w:rsidR="00B22E7F" w:rsidRDefault="00750592" w:rsidP="003D4201">
    <w:pPr>
      <w:pStyle w:val="Footer"/>
      <w:tabs>
        <w:tab w:val="clear" w:pos="4320"/>
        <w:tab w:val="clear" w:pos="8640"/>
        <w:tab w:val="right" w:pos="9214"/>
      </w:tabs>
      <w:spacing w:before="120" w:after="0"/>
      <w:rPr>
        <w:b/>
        <w:sz w:val="18"/>
        <w:szCs w:val="18"/>
      </w:rPr>
    </w:pPr>
    <w:r>
      <w:rPr>
        <w:b/>
        <w:sz w:val="18"/>
        <w:szCs w:val="18"/>
      </w:rPr>
      <w:t>2021</w:t>
    </w:r>
    <w:r w:rsidR="008F1814">
      <w:rPr>
        <w:b/>
        <w:sz w:val="18"/>
        <w:szCs w:val="18"/>
      </w:rPr>
      <w:t>.1</w:t>
    </w:r>
  </w:p>
  <w:p w14:paraId="0057A180" w14:textId="2D9C9CEB" w:rsidR="00EF0A8C" w:rsidRDefault="00B22E7F" w:rsidP="009F128B">
    <w:pPr>
      <w:pStyle w:val="Footer"/>
      <w:tabs>
        <w:tab w:val="clear" w:pos="4320"/>
        <w:tab w:val="clear" w:pos="8640"/>
        <w:tab w:val="right" w:pos="9214"/>
      </w:tabs>
      <w:spacing w:before="0" w:after="0"/>
      <w:rPr>
        <w:b/>
        <w:sz w:val="20"/>
      </w:rPr>
    </w:pPr>
    <w:r>
      <w:rPr>
        <w:sz w:val="18"/>
        <w:szCs w:val="18"/>
      </w:rPr>
      <w:fldChar w:fldCharType="begin"/>
    </w:r>
    <w:r>
      <w:rPr>
        <w:sz w:val="18"/>
        <w:szCs w:val="18"/>
      </w:rPr>
      <w:instrText xml:space="preserve"> FILENAME   \* MERGEFORMAT </w:instrText>
    </w:r>
    <w:r>
      <w:rPr>
        <w:sz w:val="18"/>
        <w:szCs w:val="18"/>
      </w:rPr>
      <w:fldChar w:fldCharType="separate"/>
    </w:r>
    <w:r w:rsidR="00EB1627">
      <w:rPr>
        <w:noProof/>
        <w:sz w:val="18"/>
        <w:szCs w:val="18"/>
      </w:rPr>
      <w:t>a5e_contractnotice_enotices_fr.docx</w:t>
    </w:r>
    <w:r>
      <w:rPr>
        <w:sz w:val="18"/>
        <w:szCs w:val="18"/>
      </w:rPr>
      <w:fldChar w:fldCharType="end"/>
    </w:r>
    <w:r>
      <w:tab/>
    </w: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F1814">
      <w:rPr>
        <w:rStyle w:val="PageNumber"/>
        <w:noProof/>
        <w:sz w:val="18"/>
        <w:szCs w:val="18"/>
      </w:rPr>
      <w:t>1</w:t>
    </w:r>
    <w:r>
      <w:rPr>
        <w:rStyle w:val="PageNumber"/>
        <w:sz w:val="18"/>
        <w:szCs w:val="18"/>
      </w:rPr>
      <w:fldChar w:fldCharType="end"/>
    </w:r>
    <w:r>
      <w:rPr>
        <w:rStyle w:val="PageNumber"/>
        <w:sz w:val="18"/>
        <w:szCs w:val="18"/>
      </w:rPr>
      <w:t xml:space="preserve"> sur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8F1814">
      <w:rPr>
        <w:rStyle w:val="PageNumber"/>
        <w:noProof/>
        <w:sz w:val="18"/>
        <w:szCs w:val="18"/>
      </w:rPr>
      <w:t>4</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D6C9" w14:textId="77777777" w:rsidR="008F1814" w:rsidRDefault="008F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 w:id="1">
    <w:p w14:paraId="7C4E44E2" w14:textId="02C3DA42" w:rsidR="000617C9" w:rsidRPr="000617C9" w:rsidRDefault="000617C9" w:rsidP="000617C9">
      <w:pPr>
        <w:pStyle w:val="FootnoteText"/>
      </w:pPr>
      <w:r>
        <w:rPr>
          <w:rStyle w:val="FootnoteReference"/>
        </w:rPr>
        <w:footnoteRef/>
      </w:r>
      <w:r>
        <w:t xml:space="preserve"> </w:t>
      </w:r>
      <w:r>
        <w:rPr>
          <w:sz w:val="18"/>
          <w:szCs w:val="18"/>
        </w:rPr>
        <w:t>Le vocabulaire commun pour les marchés publics (</w:t>
      </w:r>
      <w:r>
        <w:rPr>
          <w:i/>
          <w:iCs/>
          <w:sz w:val="18"/>
          <w:szCs w:val="18"/>
        </w:rPr>
        <w:t>Common Procurement Vocabulary</w:t>
      </w:r>
      <w:r>
        <w:rPr>
          <w:sz w:val="18"/>
          <w:szCs w:val="18"/>
        </w:rPr>
        <w:t xml:space="preserve">, CPV) est la nomenclature de référence obligatoire applicable aux marchés publics. La liste des codes CPV est disponible à l’adresse suivante: </w:t>
      </w:r>
      <w:hyperlink r:id="rId1" w:history="1">
        <w:r>
          <w:rPr>
            <w:rStyle w:val="Hyperlink"/>
            <w:sz w:val="18"/>
            <w:szCs w:val="18"/>
          </w:rPr>
          <w:t>https://simap.ted.europa.eu/fr/web/simap/cpv</w:t>
        </w:r>
      </w:hyperlink>
    </w:p>
  </w:footnote>
  <w:footnote w:id="2">
    <w:p w14:paraId="1CF43847" w14:textId="75E26B64" w:rsidR="00196F2A" w:rsidRPr="008F66E7" w:rsidRDefault="00196F2A">
      <w:pPr>
        <w:pStyle w:val="FootnoteText"/>
      </w:pPr>
      <w:r>
        <w:rPr>
          <w:rStyle w:val="FootnoteReference"/>
        </w:rPr>
        <w:footnoteRef/>
      </w:r>
      <w:r>
        <w:t xml:space="preserve"> </w:t>
      </w:r>
      <w:r>
        <w:rPr>
          <w:sz w:val="18"/>
          <w:szCs w:val="18"/>
        </w:rPr>
        <w:t>Pourrait être utilisé pour élargir la description de l’objet du marché.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F527" w14:textId="77777777" w:rsidR="008F1814" w:rsidRDefault="008F1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9540" w14:textId="77777777" w:rsidR="008F1814" w:rsidRDefault="008F1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728C" w14:textId="77777777" w:rsidR="008F1814" w:rsidRDefault="008F1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3758"/>
    <w:rsid w:val="000C1522"/>
    <w:rsid w:val="000C5B55"/>
    <w:rsid w:val="000E5BBC"/>
    <w:rsid w:val="000E767D"/>
    <w:rsid w:val="000F0F6C"/>
    <w:rsid w:val="000F4D57"/>
    <w:rsid w:val="000F5DEF"/>
    <w:rsid w:val="0010162C"/>
    <w:rsid w:val="00104727"/>
    <w:rsid w:val="00105302"/>
    <w:rsid w:val="00110A94"/>
    <w:rsid w:val="00112210"/>
    <w:rsid w:val="00115D2F"/>
    <w:rsid w:val="00120298"/>
    <w:rsid w:val="00122B86"/>
    <w:rsid w:val="00126E99"/>
    <w:rsid w:val="00135FF0"/>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36D"/>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5407"/>
    <w:rsid w:val="0047646C"/>
    <w:rsid w:val="00476D80"/>
    <w:rsid w:val="00477B20"/>
    <w:rsid w:val="00482B9A"/>
    <w:rsid w:val="00484BEE"/>
    <w:rsid w:val="004853B9"/>
    <w:rsid w:val="004901C2"/>
    <w:rsid w:val="004957E5"/>
    <w:rsid w:val="004A079B"/>
    <w:rsid w:val="004B0F8B"/>
    <w:rsid w:val="004B5DCF"/>
    <w:rsid w:val="004C0DB3"/>
    <w:rsid w:val="004C49B2"/>
    <w:rsid w:val="004C68B3"/>
    <w:rsid w:val="004E083B"/>
    <w:rsid w:val="004E1482"/>
    <w:rsid w:val="004E29A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5C56"/>
    <w:rsid w:val="00745DBA"/>
    <w:rsid w:val="00746DDB"/>
    <w:rsid w:val="007471C5"/>
    <w:rsid w:val="00750592"/>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1814"/>
    <w:rsid w:val="008F4ED2"/>
    <w:rsid w:val="008F66E7"/>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B2689"/>
    <w:rsid w:val="00BB3DD7"/>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70AAE"/>
    <w:rsid w:val="00C712DE"/>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4E75"/>
    <w:rsid w:val="00D46724"/>
    <w:rsid w:val="00D47080"/>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5FC7"/>
    <w:rsid w:val="00E422A2"/>
    <w:rsid w:val="00E51C35"/>
    <w:rsid w:val="00E734C8"/>
    <w:rsid w:val="00E813B7"/>
    <w:rsid w:val="00E81F05"/>
    <w:rsid w:val="00E82874"/>
    <w:rsid w:val="00E9047D"/>
    <w:rsid w:val="00E95E44"/>
    <w:rsid w:val="00EA399C"/>
    <w:rsid w:val="00EB1627"/>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438F"/>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fr-FR"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fr-FR" w:eastAsia="en-US"/>
    </w:rPr>
  </w:style>
  <w:style w:type="paragraph" w:styleId="NormalWeb">
    <w:name w:val="Normal (Web)"/>
    <w:basedOn w:val="Normal"/>
    <w:uiPriority w:val="99"/>
    <w:unhideWhenUsed/>
    <w:rsid w:val="001F5D80"/>
    <w:pPr>
      <w:widowControl/>
      <w:spacing w:beforeAutospacing="1" w:afterAutospacing="1"/>
    </w:pPr>
    <w:rPr>
      <w:snapToGrid/>
      <w:szCs w:val="24"/>
      <w:lang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fr-FR"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fr-FR"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fr-FR" w:eastAsia="en-US"/>
    </w:rPr>
  </w:style>
  <w:style w:type="paragraph" w:styleId="Subtitle">
    <w:name w:val="Subtitle"/>
    <w:basedOn w:val="Normal"/>
    <w:link w:val="SubtitleChar"/>
    <w:qFormat/>
    <w:rsid w:val="00EF74CF"/>
    <w:pPr>
      <w:widowControl/>
      <w:spacing w:before="120" w:after="120"/>
      <w:jc w:val="center"/>
    </w:pPr>
    <w:rPr>
      <w:rFonts w:ascii="Arial" w:hAnsi="Arial"/>
      <w:b/>
      <w:sz w:val="28"/>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map.ted.europa.eu/fr/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69211-2F21-4A38-85FC-DF973CCFB814}">
  <ds:schemaRefs>
    <ds:schemaRef ds:uri="http://schemas.openxmlformats.org/officeDocument/2006/bibliography"/>
  </ds:schemaRefs>
</ds:datastoreItem>
</file>

<file path=customXml/itemProps2.xml><?xml version="1.0" encoding="utf-8"?>
<ds:datastoreItem xmlns:ds="http://schemas.openxmlformats.org/officeDocument/2006/customXml" ds:itemID="{9814C7F8-6AE8-402B-A884-9677868BC707}"/>
</file>

<file path=customXml/itemProps3.xml><?xml version="1.0" encoding="utf-8"?>
<ds:datastoreItem xmlns:ds="http://schemas.openxmlformats.org/officeDocument/2006/customXml" ds:itemID="{05532590-8030-4ECD-AF7C-DDBE48CC2A92}"/>
</file>

<file path=customXml/itemProps4.xml><?xml version="1.0" encoding="utf-8"?>
<ds:datastoreItem xmlns:ds="http://schemas.openxmlformats.org/officeDocument/2006/customXml" ds:itemID="{168568B0-1998-4CF1-9E52-342C5D3176C5}"/>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4765</Characters>
  <Application>Microsoft Office Word</Application>
  <DocSecurity>0</DocSecurity>
  <Lines>119</Lines>
  <Paragraphs>55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OTERO VEGA Yolanda (DEVCO)</cp:lastModifiedBy>
  <cp:revision>5</cp:revision>
  <cp:lastPrinted>2014-01-30T15:32:00Z</cp:lastPrinted>
  <dcterms:created xsi:type="dcterms:W3CDTF">2021-11-19T10:50:00Z</dcterms:created>
  <dcterms:modified xsi:type="dcterms:W3CDTF">2022-05-19T12:10:00Z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