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B307" w14:textId="77777777" w:rsidR="00204689" w:rsidRPr="00204689" w:rsidRDefault="00505741" w:rsidP="007206B2">
      <w:pPr>
        <w:spacing w:before="3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AVIS DE MODIFICATION DE MARCHÉ</w:t>
      </w:r>
    </w:p>
    <w:p w14:paraId="51DC171E" w14:textId="77777777" w:rsidR="0044583A" w:rsidRPr="004E0A63" w:rsidRDefault="0044583A" w:rsidP="0044583A">
      <w:pPr>
        <w:pStyle w:val="Subtitle"/>
        <w:shd w:val="clear" w:color="auto" w:fill="FFFF00"/>
        <w:spacing w:after="0"/>
        <w:jc w:val="both"/>
        <w:rPr>
          <w:rFonts w:ascii="Times New Roman" w:hAnsi="Times New Roman"/>
          <w:snapToGrid/>
          <w:sz w:val="22"/>
          <w:szCs w:val="22"/>
          <w:highlight w:val="yellow"/>
        </w:rPr>
      </w:pPr>
      <w:r>
        <w:rPr>
          <w:rFonts w:ascii="Times New Roman" w:hAnsi="Times New Roman"/>
          <w:snapToGrid/>
          <w:sz w:val="22"/>
          <w:szCs w:val="22"/>
          <w:highlight w:val="yellow"/>
        </w:rPr>
        <w:t>Conseils sur l’utilisation du présent formulaire</w:t>
      </w:r>
    </w:p>
    <w:p w14:paraId="036FB23E" w14:textId="48733839" w:rsidR="0044583A" w:rsidRPr="004E0A63" w:rsidRDefault="0044583A" w:rsidP="0044583A">
      <w:pPr>
        <w:spacing w:beforeAutospacing="1" w:afterAutospacing="1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La présente annexe doit être utilisée en cas de gestion indirecte uniquement. Le pays partenaire ou l’organisation régionale remplit l’annexe au format Word et la transmet à la délégation/l’unité. La délégation/l’unité encode les données de cette annexe dans PPMT.</w:t>
      </w:r>
    </w:p>
    <w:p w14:paraId="6F15ADEA" w14:textId="77777777" w:rsidR="0044583A" w:rsidRPr="0044583A" w:rsidRDefault="0044583A" w:rsidP="0044583A">
      <w:pPr>
        <w:jc w:val="both"/>
        <w:rPr>
          <w:sz w:val="23"/>
          <w:szCs w:val="23"/>
        </w:rPr>
      </w:pPr>
      <w:r>
        <w:rPr>
          <w:sz w:val="23"/>
          <w:szCs w:val="23"/>
          <w:highlight w:val="yellow"/>
        </w:rPr>
        <w:t>À utiliser</w:t>
      </w:r>
      <w:r>
        <w:rPr>
          <w:b/>
          <w:sz w:val="28"/>
          <w:highlight w:val="yellow"/>
        </w:rPr>
        <w:t xml:space="preserve"> </w:t>
      </w:r>
      <w:r>
        <w:rPr>
          <w:sz w:val="23"/>
          <w:szCs w:val="23"/>
          <w:highlight w:val="yellow"/>
        </w:rPr>
        <w:t>lorsque le montant sur lequel porte la modification est supérieur ou égal à 300 000 EUR dans le cas de marchés de services ou de fournitures ou supérieur ou égal à 5 000 000 EUR dans le cas de marché de travaux, et représente jusqu’à 50 % du montant initial du marché.</w:t>
      </w:r>
    </w:p>
    <w:p w14:paraId="2DBDEF75" w14:textId="3F8CE134" w:rsidR="0044583A" w:rsidRPr="00B656F0" w:rsidRDefault="0044583A" w:rsidP="0044583A">
      <w:pPr>
        <w:pStyle w:val="Subtitle"/>
        <w:shd w:val="clear" w:color="auto" w:fill="FFFF00"/>
        <w:spacing w:after="240"/>
        <w:jc w:val="both"/>
      </w:pPr>
      <w:r>
        <w:rPr>
          <w:rFonts w:ascii="Times New Roman" w:hAnsi="Times New Roman"/>
          <w:snapToGrid/>
          <w:sz w:val="22"/>
          <w:szCs w:val="22"/>
          <w:highlight w:val="yellow"/>
        </w:rPr>
        <w:t xml:space="preserve">Veuillez remplacer les éléments </w:t>
      </w:r>
      <w:r>
        <w:rPr>
          <w:rFonts w:ascii="Times New Roman" w:hAnsi="Times New Roman"/>
          <w:b w:val="0"/>
          <w:snapToGrid/>
          <w:sz w:val="22"/>
          <w:szCs w:val="22"/>
          <w:highlight w:val="yellow"/>
        </w:rPr>
        <w:t>entre &lt; &gt; par les éléments correspondant à chaque procédure d’appel d’offres. Les éléments figurant entre [ ] et sur fond gris sont des options: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>
        <w:rPr>
          <w:rFonts w:ascii="Times New Roman" w:hAnsi="Times New Roman"/>
          <w:b w:val="0"/>
          <w:snapToGrid/>
          <w:sz w:val="22"/>
          <w:szCs w:val="22"/>
          <w:highlight w:val="yellow"/>
        </w:rPr>
        <w:t>ils doivent être insérés</w:t>
      </w:r>
      <w:r>
        <w:rPr>
          <w:rFonts w:ascii="Times New Roman" w:hAnsi="Times New Roman"/>
          <w:b w:val="0"/>
          <w:snapToGrid/>
          <w:sz w:val="22"/>
          <w:szCs w:val="22"/>
        </w:rPr>
        <w:t xml:space="preserve"> si nécessaire et ne doivent être modifiés qu’à titre exceptionnel, en fonction des exigences propres à certains appels d’offres. </w:t>
      </w:r>
      <w:r>
        <w:rPr>
          <w:rFonts w:ascii="Times New Roman" w:hAnsi="Times New Roman"/>
          <w:snapToGrid/>
          <w:sz w:val="22"/>
          <w:szCs w:val="22"/>
        </w:rPr>
        <w:t>Tous les autres éléments du présent avis doivent rester inchangés.</w:t>
      </w:r>
      <w:r>
        <w:rPr>
          <w:rFonts w:ascii="Times New Roman" w:hAnsi="Times New Roman"/>
          <w:b w:val="0"/>
          <w:snapToGrid/>
          <w:sz w:val="22"/>
          <w:szCs w:val="22"/>
        </w:rPr>
        <w:t xml:space="preserve"> Dans la version finale de l’avis, n’oubliez pas de supprimer le présent paragraphe, tout autre texte affiché sur fond jaune et tous les crochets.</w:t>
      </w:r>
    </w:p>
    <w:p w14:paraId="6A98224F" w14:textId="77777777" w:rsidR="0044583A" w:rsidRDefault="0044583A" w:rsidP="0044583A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II.1.1) Intitulé de l’avis de marché: </w:t>
      </w:r>
      <w:r>
        <w:rPr>
          <w:b/>
          <w:sz w:val="22"/>
          <w:szCs w:val="22"/>
          <w:highlight w:val="yellow"/>
        </w:rPr>
        <w:t>&lt;intitulé de l’avis de marché&gt;</w:t>
      </w:r>
      <w:r>
        <w:br/>
      </w:r>
      <w:r>
        <w:rPr>
          <w:b/>
          <w:sz w:val="22"/>
          <w:szCs w:val="22"/>
          <w:u w:val="single"/>
        </w:rPr>
        <w:t>II.1.1) Numéro de référence de l’avis de marché: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highlight w:val="yellow"/>
        </w:rPr>
        <w:t>&lt;numéro de référence de l’avis de marché&gt;</w:t>
      </w:r>
    </w:p>
    <w:p w14:paraId="584CC2E0" w14:textId="2D63F2BC" w:rsidR="00981186" w:rsidRPr="002441D5" w:rsidRDefault="00981186" w:rsidP="002441D5">
      <w:pPr>
        <w:pStyle w:val="Blockquote"/>
        <w:spacing w:before="120" w:after="120"/>
        <w:ind w:left="0" w:right="357"/>
        <w:rPr>
          <w:rStyle w:val="Strong"/>
          <w:sz w:val="22"/>
          <w:szCs w:val="22"/>
          <w:u w:val="single"/>
        </w:rPr>
      </w:pPr>
      <w:r w:rsidRPr="004F4E16">
        <w:rPr>
          <w:sz w:val="22"/>
          <w:szCs w:val="22"/>
          <w:highlight w:val="lightGray"/>
          <w:u w:val="single"/>
        </w:rPr>
        <w:t>[</w:t>
      </w:r>
      <w:r>
        <w:rPr>
          <w:sz w:val="22"/>
          <w:szCs w:val="22"/>
          <w:highlight w:val="yellow"/>
          <w:u w:val="single"/>
        </w:rPr>
        <w:t>en cas de lots</w:t>
      </w:r>
      <w:r w:rsidRPr="004F4E16">
        <w:rPr>
          <w:b/>
          <w:sz w:val="22"/>
          <w:szCs w:val="22"/>
          <w:highlight w:val="lightGray"/>
          <w:u w:val="single"/>
        </w:rPr>
        <w:t xml:space="preserve"> II.2.1</w:t>
      </w:r>
      <w:r>
        <w:br/>
      </w:r>
      <w:r w:rsidRPr="004F4E16">
        <w:rPr>
          <w:sz w:val="22"/>
          <w:szCs w:val="22"/>
          <w:highlight w:val="lightGray"/>
          <w:u w:val="single"/>
        </w:rPr>
        <w:t>Lot nº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highlight w:val="yellow"/>
          <w:u w:val="single"/>
        </w:rPr>
        <w:t>&lt;numéro&gt;</w:t>
      </w:r>
      <w:r>
        <w:br/>
      </w:r>
      <w:r w:rsidRPr="004F4E16">
        <w:rPr>
          <w:sz w:val="22"/>
          <w:szCs w:val="22"/>
          <w:highlight w:val="lightGray"/>
          <w:u w:val="single"/>
        </w:rPr>
        <w:t>Intitulé: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highlight w:val="yellow"/>
          <w:u w:val="single"/>
        </w:rPr>
        <w:t>&lt;intitulé&gt;</w:t>
      </w:r>
      <w:r w:rsidRPr="004F4E16">
        <w:rPr>
          <w:sz w:val="22"/>
          <w:szCs w:val="22"/>
          <w:highlight w:val="lightGray"/>
          <w:u w:val="single"/>
        </w:rPr>
        <w:t>]</w:t>
      </w:r>
      <w:r>
        <w:br/>
      </w:r>
      <w:r>
        <w:br/>
      </w:r>
      <w:r>
        <w:br/>
      </w:r>
      <w:r>
        <w:rPr>
          <w:rStyle w:val="Strong"/>
          <w:sz w:val="22"/>
          <w:szCs w:val="22"/>
          <w:u w:val="single"/>
        </w:rPr>
        <w:t>IV.2.1) Avis d’attribution de marché relatif au présent marché</w:t>
      </w:r>
    </w:p>
    <w:p w14:paraId="13DCE478" w14:textId="77777777" w:rsidR="00981186" w:rsidRDefault="00981186" w:rsidP="00981186">
      <w:pPr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  <w:highlight w:val="yellow"/>
        </w:rPr>
        <w:t>Mentionnez le numéro de l’avis de marché</w:t>
      </w:r>
    </w:p>
    <w:p w14:paraId="1C3581F3" w14:textId="4ACA52A5" w:rsidR="00981186" w:rsidRPr="00EF74CF" w:rsidRDefault="00981186" w:rsidP="00981186">
      <w:pPr>
        <w:outlineLvl w:val="0"/>
        <w:rPr>
          <w:rStyle w:val="Strong"/>
          <w:sz w:val="22"/>
          <w:szCs w:val="22"/>
          <w:u w:val="single"/>
        </w:rPr>
      </w:pPr>
      <w:r>
        <w:rPr>
          <w:rStyle w:val="Strong"/>
          <w:b w:val="0"/>
          <w:sz w:val="22"/>
          <w:szCs w:val="22"/>
        </w:rPr>
        <w:t xml:space="preserve">Numéro de l’avis au JO S: </w:t>
      </w:r>
      <w:r>
        <w:rPr>
          <w:rStyle w:val="Strong"/>
          <w:b w:val="0"/>
          <w:sz w:val="22"/>
          <w:szCs w:val="22"/>
          <w:highlight w:val="yellow"/>
        </w:rPr>
        <w:t>&lt;numéro à 4 chiffres&gt;/S &lt;numéro à 2 ou 3 chiffres&gt;-&lt;numéro à 5 chiffres&gt;</w:t>
      </w:r>
    </w:p>
    <w:p w14:paraId="26A372D1" w14:textId="6C292715" w:rsidR="003C486A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  <w:u w:val="single"/>
        </w:rPr>
      </w:pPr>
      <w:r>
        <w:t xml:space="preserve"> </w:t>
      </w:r>
      <w:r>
        <w:br/>
      </w:r>
      <w:r>
        <w:rPr>
          <w:b/>
          <w:sz w:val="22"/>
          <w:szCs w:val="22"/>
          <w:u w:val="single"/>
        </w:rPr>
        <w:t>VII.1) Description du marché après les modifications</w:t>
      </w:r>
    </w:p>
    <w:p w14:paraId="53753043" w14:textId="503A1F4B" w:rsidR="00981186" w:rsidRPr="00981186" w:rsidRDefault="00981186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b/>
          <w:sz w:val="22"/>
          <w:szCs w:val="22"/>
        </w:rPr>
        <w:t xml:space="preserve">VII.1.4) Description du marché: </w:t>
      </w:r>
      <w:r>
        <w:rPr>
          <w:sz w:val="22"/>
          <w:szCs w:val="22"/>
          <w:highlight w:val="yellow"/>
        </w:rPr>
        <w:t>&lt;décrivez la nature et la quantité des travaux, fournitures ou services&gt;</w:t>
      </w:r>
      <w:r>
        <w:t xml:space="preserve"> </w:t>
      </w:r>
      <w:r>
        <w:br/>
      </w:r>
    </w:p>
    <w:p w14:paraId="677893D1" w14:textId="56E2BCE3" w:rsidR="00262BEC" w:rsidRPr="00981186" w:rsidRDefault="00262BEC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rPr>
          <w:b/>
          <w:sz w:val="22"/>
          <w:szCs w:val="22"/>
        </w:rPr>
        <w:t>VII.1.5) Durée du marché</w:t>
      </w:r>
    </w:p>
    <w:p w14:paraId="17CBA0BE" w14:textId="77777777" w:rsidR="00B158FF" w:rsidRDefault="00B158FF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4F4E16">
        <w:rPr>
          <w:sz w:val="22"/>
          <w:szCs w:val="22"/>
          <w:highlight w:val="lightGray"/>
        </w:rPr>
        <w:t>[Durée en mois: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&lt;nombre de mois&gt;</w:t>
      </w:r>
      <w:r w:rsidRPr="004F4E16">
        <w:rPr>
          <w:sz w:val="22"/>
          <w:szCs w:val="22"/>
          <w:highlight w:val="lightGray"/>
        </w:rPr>
        <w:t>]</w:t>
      </w:r>
      <w:r>
        <w:rPr>
          <w:sz w:val="22"/>
          <w:szCs w:val="22"/>
        </w:rPr>
        <w:t xml:space="preserve"> </w:t>
      </w:r>
      <w:r w:rsidRPr="004F4E16">
        <w:rPr>
          <w:sz w:val="22"/>
          <w:szCs w:val="22"/>
          <w:highlight w:val="lightGray"/>
        </w:rPr>
        <w:t>[Durée en jours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highlight w:val="yellow"/>
        </w:rPr>
        <w:t>&lt;nombre de jours&gt;</w:t>
      </w:r>
      <w:r w:rsidRPr="004F4E16">
        <w:rPr>
          <w:sz w:val="22"/>
          <w:szCs w:val="22"/>
          <w:highlight w:val="lightGray"/>
        </w:rPr>
        <w:t>]</w:t>
      </w:r>
    </w:p>
    <w:p w14:paraId="79E252B7" w14:textId="10D6DBC5" w:rsidR="003C486A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t xml:space="preserve"> </w:t>
      </w:r>
      <w:r>
        <w:br/>
      </w:r>
      <w:r>
        <w:rPr>
          <w:b/>
          <w:sz w:val="22"/>
          <w:szCs w:val="22"/>
        </w:rPr>
        <w:t>VII.1.6) Informations sur le mo</w:t>
      </w:r>
      <w:bookmarkStart w:id="0" w:name="_GoBack"/>
      <w:bookmarkEnd w:id="0"/>
      <w:r>
        <w:rPr>
          <w:b/>
          <w:sz w:val="22"/>
          <w:szCs w:val="22"/>
        </w:rPr>
        <w:t>ntant du marché/lot (hors TVA)</w:t>
      </w:r>
    </w:p>
    <w:p w14:paraId="7A8C316F" w14:textId="30FEB548" w:rsidR="00B158FF" w:rsidRPr="00B158FF" w:rsidRDefault="003C486A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sz w:val="22"/>
          <w:szCs w:val="22"/>
        </w:rPr>
        <w:t>Montant total du marché/lot:</w:t>
      </w:r>
      <w:r>
        <w:rPr>
          <w:sz w:val="22"/>
          <w:szCs w:val="22"/>
          <w:highlight w:val="yellow"/>
        </w:rPr>
        <w:t xml:space="preserve"> &lt;montant&gt;</w:t>
      </w:r>
      <w:r>
        <w:rPr>
          <w:sz w:val="22"/>
          <w:szCs w:val="22"/>
        </w:rPr>
        <w:t xml:space="preserve">   Monnaie: </w:t>
      </w:r>
      <w:r>
        <w:rPr>
          <w:sz w:val="22"/>
          <w:szCs w:val="22"/>
          <w:highlight w:val="yellow"/>
        </w:rPr>
        <w:t>&lt;code ISO de la monnaie&gt;</w:t>
      </w:r>
    </w:p>
    <w:p w14:paraId="229D9AE1" w14:textId="77777777" w:rsidR="003C486A" w:rsidRPr="00B158FF" w:rsidRDefault="00B158FF" w:rsidP="00B158FF">
      <w:pPr>
        <w:pStyle w:val="Blockquote"/>
        <w:spacing w:before="120" w:after="120"/>
        <w:ind w:left="0" w:right="357"/>
        <w:rPr>
          <w:b/>
          <w:sz w:val="22"/>
          <w:szCs w:val="22"/>
          <w:u w:val="single"/>
        </w:rPr>
      </w:pPr>
      <w:r>
        <w:lastRenderedPageBreak/>
        <w:t xml:space="preserve"> </w:t>
      </w:r>
      <w:r>
        <w:br/>
      </w:r>
      <w:r>
        <w:rPr>
          <w:b/>
          <w:sz w:val="22"/>
          <w:szCs w:val="22"/>
          <w:u w:val="single"/>
        </w:rPr>
        <w:t>VII.2) Informations sur les modifications</w:t>
      </w:r>
    </w:p>
    <w:p w14:paraId="134B60AA" w14:textId="77777777" w:rsidR="00262BEC" w:rsidRPr="00981186" w:rsidRDefault="00262BEC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rPr>
          <w:b/>
          <w:sz w:val="22"/>
          <w:szCs w:val="22"/>
        </w:rPr>
        <w:t>VII.2.1) Description des modifications</w:t>
      </w:r>
    </w:p>
    <w:p w14:paraId="4DC812B4" w14:textId="77777777" w:rsidR="00262BEC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sz w:val="22"/>
          <w:szCs w:val="22"/>
        </w:rPr>
        <w:t xml:space="preserve">Nature et étendue des modifications (avec indication des éventuels changements préalablement apportés au marché): </w:t>
      </w:r>
      <w:r>
        <w:rPr>
          <w:sz w:val="22"/>
          <w:szCs w:val="22"/>
          <w:highlight w:val="yellow"/>
        </w:rPr>
        <w:t>&lt;décrivez la nature et l’étendue des modifications&gt;</w:t>
      </w:r>
    </w:p>
    <w:p w14:paraId="0F825F08" w14:textId="33B63248" w:rsidR="00262BEC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t xml:space="preserve"> </w:t>
      </w:r>
      <w:r>
        <w:br/>
      </w:r>
      <w:r>
        <w:rPr>
          <w:b/>
          <w:sz w:val="22"/>
          <w:szCs w:val="22"/>
        </w:rPr>
        <w:t>VII.2.2) Raisons des modifications</w:t>
      </w:r>
    </w:p>
    <w:p w14:paraId="17846F01" w14:textId="69047D81" w:rsidR="00B158FF" w:rsidRPr="004F4E16" w:rsidRDefault="00B158FF" w:rsidP="00B158FF">
      <w:pPr>
        <w:pStyle w:val="Blockquote"/>
        <w:spacing w:before="120" w:after="120"/>
        <w:ind w:left="0" w:right="357"/>
        <w:rPr>
          <w:sz w:val="22"/>
          <w:szCs w:val="22"/>
          <w:highlight w:val="lightGray"/>
        </w:rPr>
      </w:pPr>
      <w:r w:rsidRPr="004F4E16">
        <w:rPr>
          <w:sz w:val="22"/>
          <w:szCs w:val="22"/>
          <w:highlight w:val="lightGray"/>
        </w:rPr>
        <w:t xml:space="preserve">[Besoin de travaux, services ou fournitures supplémentaires du contractant/concessionnaire initial </w:t>
      </w:r>
      <w:r w:rsidRPr="004F4E16">
        <w:rPr>
          <w:highlight w:val="lightGray"/>
        </w:rPr>
        <w:t>[article 172, paragraphe 3,</w:t>
      </w:r>
      <w:r w:rsidRPr="004F4E16">
        <w:rPr>
          <w:sz w:val="22"/>
          <w:szCs w:val="22"/>
          <w:highlight w:val="lightGray"/>
        </w:rPr>
        <w:t xml:space="preserve"> point a), du règlement financier]</w:t>
      </w:r>
    </w:p>
    <w:p w14:paraId="4EA33C93" w14:textId="77777777" w:rsidR="00262BEC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4F4E16">
        <w:rPr>
          <w:sz w:val="22"/>
          <w:szCs w:val="22"/>
          <w:highlight w:val="lightGray"/>
        </w:rPr>
        <w:t xml:space="preserve">Description des raisons économiques ou techniques et des inconvénients ou de l’augmentation des coûts empêchant un changement de contractant: </w:t>
      </w:r>
      <w:r>
        <w:rPr>
          <w:sz w:val="22"/>
          <w:szCs w:val="22"/>
          <w:highlight w:val="yellow"/>
        </w:rPr>
        <w:t>&lt;fournissez une description ici&gt;</w:t>
      </w:r>
      <w:r w:rsidRPr="004F4E16">
        <w:rPr>
          <w:sz w:val="22"/>
          <w:szCs w:val="22"/>
          <w:highlight w:val="lightGray"/>
        </w:rPr>
        <w:t>]</w:t>
      </w:r>
    </w:p>
    <w:p w14:paraId="6757AA9E" w14:textId="521177B7" w:rsidR="00B158FF" w:rsidRPr="004F4E16" w:rsidRDefault="00B158FF" w:rsidP="00B158FF">
      <w:pPr>
        <w:pStyle w:val="Blockquote"/>
        <w:spacing w:before="120" w:after="120"/>
        <w:ind w:left="0" w:right="357"/>
        <w:rPr>
          <w:sz w:val="22"/>
          <w:szCs w:val="22"/>
          <w:highlight w:val="lightGray"/>
        </w:rPr>
      </w:pPr>
      <w:r w:rsidRPr="004F4E16">
        <w:rPr>
          <w:sz w:val="22"/>
          <w:szCs w:val="22"/>
          <w:highlight w:val="lightGray"/>
        </w:rPr>
        <w:t>[Modification rendue nécessaire par des circonstances qu’un pouvoir adjudicateur ou une entité adjudicatrice diligent(e) ne pouvait pas prévoir [article 172, paragraphe 3, point b), du règlement financier]</w:t>
      </w:r>
    </w:p>
    <w:p w14:paraId="293959B9" w14:textId="77777777" w:rsidR="00262BEC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 w:rsidRPr="004F4E16">
        <w:rPr>
          <w:sz w:val="22"/>
          <w:szCs w:val="22"/>
          <w:highlight w:val="lightGray"/>
        </w:rPr>
        <w:t xml:space="preserve">Description des circonstances qui ont rendu la modification nécessaire et explication de la nature imprévue de ces circonstances: </w:t>
      </w:r>
      <w:r>
        <w:rPr>
          <w:sz w:val="22"/>
          <w:szCs w:val="22"/>
          <w:highlight w:val="yellow"/>
        </w:rPr>
        <w:t>&lt;fournissez une description ici&gt;</w:t>
      </w:r>
      <w:r>
        <w:rPr>
          <w:sz w:val="22"/>
          <w:szCs w:val="22"/>
        </w:rPr>
        <w:t>]</w:t>
      </w:r>
    </w:p>
    <w:p w14:paraId="1833DE62" w14:textId="6112B046" w:rsidR="00B158FF" w:rsidRPr="00981186" w:rsidRDefault="00981186" w:rsidP="00B158FF">
      <w:pPr>
        <w:pStyle w:val="Blockquote"/>
        <w:spacing w:before="120" w:after="120"/>
        <w:ind w:left="0" w:right="357"/>
        <w:rPr>
          <w:b/>
          <w:sz w:val="22"/>
          <w:szCs w:val="22"/>
        </w:rPr>
      </w:pPr>
      <w:r>
        <w:t xml:space="preserve"> </w:t>
      </w:r>
      <w:r>
        <w:br/>
      </w:r>
      <w:r>
        <w:rPr>
          <w:b/>
          <w:sz w:val="22"/>
          <w:szCs w:val="22"/>
        </w:rPr>
        <w:t>VII.2.3) Augmentation de prix</w:t>
      </w:r>
    </w:p>
    <w:p w14:paraId="18E716B8" w14:textId="427B9E9B" w:rsidR="00B158FF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sz w:val="22"/>
          <w:szCs w:val="22"/>
        </w:rPr>
        <w:t>Montant total actualisé du marché avant les modifications (tenant compte des éventuelles modifications de marché et adaptations de prix antérieures)</w:t>
      </w:r>
    </w:p>
    <w:p w14:paraId="745F3E66" w14:textId="583C8475" w:rsidR="00262BEC" w:rsidRPr="00B158FF" w:rsidRDefault="00262BEC" w:rsidP="00B158FF">
      <w:pPr>
        <w:pStyle w:val="Blockquote"/>
        <w:spacing w:before="120" w:after="120"/>
        <w:ind w:left="0" w:right="357"/>
        <w:rPr>
          <w:sz w:val="22"/>
          <w:szCs w:val="22"/>
        </w:rPr>
      </w:pPr>
      <w:r>
        <w:rPr>
          <w:sz w:val="22"/>
          <w:szCs w:val="22"/>
        </w:rPr>
        <w:t xml:space="preserve">Montant hors TVA: </w:t>
      </w:r>
      <w:r>
        <w:rPr>
          <w:sz w:val="22"/>
          <w:szCs w:val="22"/>
          <w:highlight w:val="yellow"/>
        </w:rPr>
        <w:t>&lt;montant&gt;</w:t>
      </w:r>
      <w:r>
        <w:rPr>
          <w:sz w:val="22"/>
          <w:szCs w:val="22"/>
        </w:rPr>
        <w:t xml:space="preserve">   Monnaie: </w:t>
      </w:r>
      <w:r>
        <w:rPr>
          <w:sz w:val="22"/>
          <w:szCs w:val="22"/>
          <w:highlight w:val="yellow"/>
        </w:rPr>
        <w:t>&lt;code ISO de la monnaie&gt;</w:t>
      </w:r>
      <w:r>
        <w:br/>
      </w:r>
      <w:r>
        <w:rPr>
          <w:sz w:val="22"/>
          <w:szCs w:val="22"/>
        </w:rPr>
        <w:t xml:space="preserve">Montant total du marché après les modifications (hors TVA): </w:t>
      </w:r>
      <w:r>
        <w:rPr>
          <w:sz w:val="22"/>
          <w:szCs w:val="22"/>
          <w:highlight w:val="yellow"/>
        </w:rPr>
        <w:t>&lt;montant&gt;</w:t>
      </w:r>
      <w:r>
        <w:rPr>
          <w:sz w:val="22"/>
          <w:szCs w:val="22"/>
        </w:rPr>
        <w:t xml:space="preserve">    Monnaie: </w:t>
      </w:r>
      <w:r>
        <w:rPr>
          <w:sz w:val="22"/>
          <w:szCs w:val="22"/>
          <w:highlight w:val="yellow"/>
        </w:rPr>
        <w:t>&lt;code ISO de la monnaie&gt;</w:t>
      </w:r>
    </w:p>
    <w:p w14:paraId="04E9B9AE" w14:textId="77777777" w:rsidR="003C486A" w:rsidRPr="00204689" w:rsidRDefault="003C486A" w:rsidP="00262BEC">
      <w:pPr>
        <w:pStyle w:val="Blockquote"/>
        <w:spacing w:before="120" w:after="120"/>
        <w:ind w:right="357"/>
        <w:rPr>
          <w:sz w:val="22"/>
          <w:szCs w:val="22"/>
        </w:rPr>
      </w:pPr>
    </w:p>
    <w:sectPr w:rsidR="003C486A" w:rsidRPr="00204689" w:rsidSect="00C6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AE6E" w14:textId="77777777" w:rsidR="0001044C" w:rsidRDefault="0001044C">
      <w:r>
        <w:separator/>
      </w:r>
    </w:p>
  </w:endnote>
  <w:endnote w:type="continuationSeparator" w:id="0">
    <w:p w14:paraId="248DD445" w14:textId="77777777" w:rsidR="0001044C" w:rsidRDefault="000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726F" w14:textId="77777777" w:rsidR="00AC463E" w:rsidRDefault="00AC4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2D2A" w14:textId="266D470A" w:rsidR="004B126D" w:rsidRPr="00AA17E6" w:rsidRDefault="006D4F72" w:rsidP="00A36DC2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</w:rPr>
      <w:t>2021</w:t>
    </w:r>
    <w:r w:rsidR="00C26A13">
      <w:rPr>
        <w:b/>
        <w:sz w:val="18"/>
        <w:szCs w:val="18"/>
      </w:rPr>
      <w:t>.1</w:t>
    </w:r>
    <w:r>
      <w:tab/>
    </w:r>
    <w:r>
      <w:rPr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C26A13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sur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C26A13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6AB6927A" w14:textId="157AB9B4" w:rsidR="009C024C" w:rsidRPr="00400BBC" w:rsidRDefault="004F4E16" w:rsidP="00C8407A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FILENAME   \* MERGEFORMAT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a5c_contractmodificationnotice_fr.docx</w:t>
    </w:r>
    <w:r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EC5A" w14:textId="77777777" w:rsidR="00AC463E" w:rsidRDefault="00AC4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8A1FE" w14:textId="77777777" w:rsidR="0001044C" w:rsidRDefault="0001044C">
      <w:r>
        <w:separator/>
      </w:r>
    </w:p>
  </w:footnote>
  <w:footnote w:type="continuationSeparator" w:id="0">
    <w:p w14:paraId="3710E4FC" w14:textId="77777777" w:rsidR="0001044C" w:rsidRDefault="0001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57F" w14:textId="77777777" w:rsidR="00AC463E" w:rsidRDefault="00AC4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5A7E" w14:textId="77777777" w:rsidR="00AC463E" w:rsidRDefault="00AC4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FCB9" w14:textId="77777777" w:rsidR="00AC463E" w:rsidRDefault="00AC4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204689"/>
    <w:rsid w:val="000049A5"/>
    <w:rsid w:val="00005481"/>
    <w:rsid w:val="0001044C"/>
    <w:rsid w:val="000771A8"/>
    <w:rsid w:val="00080B0C"/>
    <w:rsid w:val="000B6AF7"/>
    <w:rsid w:val="0010506D"/>
    <w:rsid w:val="00187CAA"/>
    <w:rsid w:val="001A19BC"/>
    <w:rsid w:val="001B71FE"/>
    <w:rsid w:val="001C76B2"/>
    <w:rsid w:val="001C7BBC"/>
    <w:rsid w:val="001D569C"/>
    <w:rsid w:val="001F0920"/>
    <w:rsid w:val="00204689"/>
    <w:rsid w:val="00216D08"/>
    <w:rsid w:val="00243774"/>
    <w:rsid w:val="002441D5"/>
    <w:rsid w:val="00262BEC"/>
    <w:rsid w:val="00287B6F"/>
    <w:rsid w:val="002907A9"/>
    <w:rsid w:val="002C5156"/>
    <w:rsid w:val="002E1FB4"/>
    <w:rsid w:val="00324D2D"/>
    <w:rsid w:val="003504A8"/>
    <w:rsid w:val="00350A97"/>
    <w:rsid w:val="00350F01"/>
    <w:rsid w:val="00360176"/>
    <w:rsid w:val="003A12C6"/>
    <w:rsid w:val="003C486A"/>
    <w:rsid w:val="00400BBC"/>
    <w:rsid w:val="00432CCB"/>
    <w:rsid w:val="00444EC4"/>
    <w:rsid w:val="0044583A"/>
    <w:rsid w:val="00460D3B"/>
    <w:rsid w:val="00482B1D"/>
    <w:rsid w:val="00493146"/>
    <w:rsid w:val="004931B3"/>
    <w:rsid w:val="004974B9"/>
    <w:rsid w:val="004B126D"/>
    <w:rsid w:val="004C1A48"/>
    <w:rsid w:val="004D1B55"/>
    <w:rsid w:val="004F4E16"/>
    <w:rsid w:val="00505741"/>
    <w:rsid w:val="0051522D"/>
    <w:rsid w:val="0052486E"/>
    <w:rsid w:val="0055295A"/>
    <w:rsid w:val="00576F66"/>
    <w:rsid w:val="005955EB"/>
    <w:rsid w:val="0059785C"/>
    <w:rsid w:val="005A73AE"/>
    <w:rsid w:val="005B7081"/>
    <w:rsid w:val="005D0ACC"/>
    <w:rsid w:val="005D410B"/>
    <w:rsid w:val="005E0182"/>
    <w:rsid w:val="005E7956"/>
    <w:rsid w:val="00615F43"/>
    <w:rsid w:val="006320B3"/>
    <w:rsid w:val="00636ACC"/>
    <w:rsid w:val="006743EB"/>
    <w:rsid w:val="00675E23"/>
    <w:rsid w:val="00690841"/>
    <w:rsid w:val="00694F5A"/>
    <w:rsid w:val="006A2C5E"/>
    <w:rsid w:val="006D4F72"/>
    <w:rsid w:val="007206B2"/>
    <w:rsid w:val="00727476"/>
    <w:rsid w:val="00730E67"/>
    <w:rsid w:val="00742591"/>
    <w:rsid w:val="00752502"/>
    <w:rsid w:val="00785C87"/>
    <w:rsid w:val="00795EF2"/>
    <w:rsid w:val="007C5653"/>
    <w:rsid w:val="007D078C"/>
    <w:rsid w:val="007D0804"/>
    <w:rsid w:val="007E5A36"/>
    <w:rsid w:val="00806E5C"/>
    <w:rsid w:val="00807B54"/>
    <w:rsid w:val="0083074E"/>
    <w:rsid w:val="00867904"/>
    <w:rsid w:val="00870884"/>
    <w:rsid w:val="00871FA3"/>
    <w:rsid w:val="0087529C"/>
    <w:rsid w:val="008A30ED"/>
    <w:rsid w:val="008D1C6D"/>
    <w:rsid w:val="008E2772"/>
    <w:rsid w:val="00925DA7"/>
    <w:rsid w:val="00946446"/>
    <w:rsid w:val="00970130"/>
    <w:rsid w:val="00981186"/>
    <w:rsid w:val="009B668F"/>
    <w:rsid w:val="009C024C"/>
    <w:rsid w:val="009D404C"/>
    <w:rsid w:val="009F7BFA"/>
    <w:rsid w:val="00A074C8"/>
    <w:rsid w:val="00A17627"/>
    <w:rsid w:val="00A26A74"/>
    <w:rsid w:val="00A36DC2"/>
    <w:rsid w:val="00A528FD"/>
    <w:rsid w:val="00A73D11"/>
    <w:rsid w:val="00A73D17"/>
    <w:rsid w:val="00A8496B"/>
    <w:rsid w:val="00A95A11"/>
    <w:rsid w:val="00AA17E6"/>
    <w:rsid w:val="00AC12C6"/>
    <w:rsid w:val="00AC392C"/>
    <w:rsid w:val="00AC463E"/>
    <w:rsid w:val="00AF16FF"/>
    <w:rsid w:val="00AF20E4"/>
    <w:rsid w:val="00AF2FF4"/>
    <w:rsid w:val="00B10189"/>
    <w:rsid w:val="00B158FF"/>
    <w:rsid w:val="00B30E30"/>
    <w:rsid w:val="00B35C7C"/>
    <w:rsid w:val="00B609FD"/>
    <w:rsid w:val="00B7633C"/>
    <w:rsid w:val="00BA5807"/>
    <w:rsid w:val="00BB06FB"/>
    <w:rsid w:val="00BB255F"/>
    <w:rsid w:val="00BC1F5E"/>
    <w:rsid w:val="00BC458B"/>
    <w:rsid w:val="00BD50E8"/>
    <w:rsid w:val="00C05FD1"/>
    <w:rsid w:val="00C26A13"/>
    <w:rsid w:val="00C34E0D"/>
    <w:rsid w:val="00C4693B"/>
    <w:rsid w:val="00C5373A"/>
    <w:rsid w:val="00C63FAD"/>
    <w:rsid w:val="00C662EA"/>
    <w:rsid w:val="00C8407A"/>
    <w:rsid w:val="00CB7D6E"/>
    <w:rsid w:val="00D30DC8"/>
    <w:rsid w:val="00D3114C"/>
    <w:rsid w:val="00D34958"/>
    <w:rsid w:val="00D44DFE"/>
    <w:rsid w:val="00D45E0B"/>
    <w:rsid w:val="00DB5D97"/>
    <w:rsid w:val="00DD3F93"/>
    <w:rsid w:val="00DD56F3"/>
    <w:rsid w:val="00DE0B90"/>
    <w:rsid w:val="00DE5C70"/>
    <w:rsid w:val="00E06F85"/>
    <w:rsid w:val="00E6285C"/>
    <w:rsid w:val="00E75DF1"/>
    <w:rsid w:val="00E83E08"/>
    <w:rsid w:val="00E9590C"/>
    <w:rsid w:val="00EB6BE7"/>
    <w:rsid w:val="00EC4EF1"/>
    <w:rsid w:val="00ED464C"/>
    <w:rsid w:val="00EE5B7F"/>
    <w:rsid w:val="00EF35DC"/>
    <w:rsid w:val="00F311B6"/>
    <w:rsid w:val="00F37046"/>
    <w:rsid w:val="00F37258"/>
    <w:rsid w:val="00F452E9"/>
    <w:rsid w:val="00F578A0"/>
    <w:rsid w:val="00F745D4"/>
    <w:rsid w:val="00FA04A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E4346B"/>
  <w15:chartTrackingRefBased/>
  <w15:docId w15:val="{598EFAB7-36EF-4EDE-8382-19981BA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fr-FR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fr-FR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fr-FR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</w:rPr>
  </w:style>
  <w:style w:type="paragraph" w:styleId="Subtitle">
    <w:name w:val="Subtitle"/>
    <w:basedOn w:val="Normal"/>
    <w:link w:val="SubtitleChar"/>
    <w:qFormat/>
    <w:rsid w:val="0044583A"/>
    <w:pPr>
      <w:widowControl/>
      <w:spacing w:before="120" w:after="120"/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link w:val="Subtitle"/>
    <w:rsid w:val="0044583A"/>
    <w:rPr>
      <w:rFonts w:ascii="Arial" w:hAnsi="Arial"/>
      <w:b/>
      <w:snapToGrid w:val="0"/>
      <w:sz w:val="28"/>
      <w:lang w:val="fr-FR" w:eastAsia="en-US"/>
    </w:rPr>
  </w:style>
  <w:style w:type="character" w:styleId="PlaceholderText">
    <w:name w:val="Placeholder Text"/>
    <w:uiPriority w:val="99"/>
    <w:semiHidden/>
    <w:rsid w:val="004F4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2BB40-C215-455F-9026-171535A28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9A618-8CCB-4CB6-A841-95C4007CB983}"/>
</file>

<file path=customXml/itemProps3.xml><?xml version="1.0" encoding="utf-8"?>
<ds:datastoreItem xmlns:ds="http://schemas.openxmlformats.org/officeDocument/2006/customXml" ds:itemID="{801440F0-571B-48DA-8B18-4FCD15134C50}"/>
</file>

<file path=customXml/itemProps4.xml><?xml version="1.0" encoding="utf-8"?>
<ds:datastoreItem xmlns:ds="http://schemas.openxmlformats.org/officeDocument/2006/customXml" ds:itemID="{BFD4896C-40A3-4A27-9443-856E4D1BD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2840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OTERO VEGA Yolanda (DEVCO)</cp:lastModifiedBy>
  <cp:revision>4</cp:revision>
  <cp:lastPrinted>2000-12-14T11:55:00Z</cp:lastPrinted>
  <dcterms:created xsi:type="dcterms:W3CDTF">2021-11-19T10:46:00Z</dcterms:created>
  <dcterms:modified xsi:type="dcterms:W3CDTF">2022-05-19T12:09:00Z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