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D8" w:rsidRPr="008D180E" w:rsidRDefault="00EC6ED8" w:rsidP="00EC6ED8">
      <w:pPr>
        <w:widowControl/>
        <w:spacing w:beforeAutospacing="1" w:afterAutospacing="1"/>
        <w:jc w:val="center"/>
        <w:rPr>
          <w:b/>
          <w:sz w:val="28"/>
          <w:szCs w:val="28"/>
        </w:rPr>
      </w:pPr>
      <w:r>
        <w:rPr>
          <w:b/>
          <w:sz w:val="28"/>
          <w:szCs w:val="28"/>
        </w:rPr>
        <w:t>ANNULATION D’UNE PROCÉDURE D’APPEL D’OFFRES</w:t>
      </w:r>
    </w:p>
    <w:p w:rsidR="00EC6ED8" w:rsidRPr="004E0A63" w:rsidRDefault="00EC6ED8" w:rsidP="00EC6ED8">
      <w:pPr>
        <w:pStyle w:val="Subtitle"/>
        <w:shd w:val="clear" w:color="auto" w:fill="FFFF00"/>
        <w:spacing w:after="0"/>
        <w:jc w:val="both"/>
        <w:rPr>
          <w:rFonts w:ascii="Times New Roman" w:hAnsi="Times New Roman"/>
          <w:snapToGrid/>
          <w:sz w:val="22"/>
          <w:szCs w:val="22"/>
          <w:highlight w:val="yellow"/>
        </w:rPr>
      </w:pPr>
      <w:r>
        <w:rPr>
          <w:rFonts w:ascii="Times New Roman" w:hAnsi="Times New Roman"/>
          <w:snapToGrid/>
          <w:sz w:val="22"/>
          <w:szCs w:val="22"/>
          <w:highlight w:val="yellow"/>
        </w:rPr>
        <w:t>Conseils sur l’utilisation du présent formulaire</w:t>
      </w:r>
    </w:p>
    <w:p w:rsidR="00EC6ED8" w:rsidRPr="004E0A63" w:rsidRDefault="00EC6ED8" w:rsidP="00987DE6">
      <w:pPr>
        <w:spacing w:beforeAutospacing="1" w:afterAutospacing="1"/>
        <w:jc w:val="both"/>
        <w:rPr>
          <w:sz w:val="22"/>
          <w:szCs w:val="22"/>
          <w:highlight w:val="yellow"/>
        </w:rPr>
      </w:pPr>
      <w:r>
        <w:rPr>
          <w:sz w:val="22"/>
          <w:szCs w:val="22"/>
          <w:highlight w:val="yellow"/>
        </w:rPr>
        <w:t>La présente annexe doit être utilisée en cas de gestion indirecte uniquement. Le pays partenaire ou l’organisation régionale remplit l’annexe au format Word et la transmet à la délégation/l’unité. La délégation/l’unité encode les données de cette annexe dans PPMT. Dans PPMT, l’annulation d’une procédure d’appel d’offres est encodée en tant que non-attribution d’un marché.</w:t>
      </w:r>
    </w:p>
    <w:p w:rsidR="00EC6ED8" w:rsidRPr="008D180E" w:rsidRDefault="00EC6ED8" w:rsidP="00926E61">
      <w:pPr>
        <w:pStyle w:val="Subtitle"/>
        <w:shd w:val="clear" w:color="auto" w:fill="FFFF00"/>
        <w:spacing w:after="240"/>
        <w:jc w:val="both"/>
      </w:pPr>
      <w:r>
        <w:rPr>
          <w:rFonts w:ascii="Times New Roman" w:hAnsi="Times New Roman"/>
          <w:snapToGrid/>
          <w:sz w:val="22"/>
          <w:szCs w:val="22"/>
          <w:highlight w:val="yellow"/>
        </w:rPr>
        <w:t xml:space="preserve">Veuillez remplacer les éléments </w:t>
      </w:r>
      <w:r>
        <w:rPr>
          <w:rFonts w:ascii="Times New Roman" w:hAnsi="Times New Roman"/>
          <w:b w:val="0"/>
          <w:snapToGrid/>
          <w:sz w:val="22"/>
          <w:szCs w:val="22"/>
          <w:highlight w:val="yellow"/>
        </w:rPr>
        <w:t>entre &lt; &gt; par les éléments correspondant à chaque procédure d’appel d’offres. Les éléments figurant entre [ ] et sur fond gris sont des options:</w:t>
      </w:r>
      <w:r>
        <w:rPr>
          <w:rFonts w:ascii="Times New Roman" w:hAnsi="Times New Roman"/>
          <w:snapToGrid/>
          <w:sz w:val="22"/>
          <w:szCs w:val="22"/>
        </w:rPr>
        <w:t xml:space="preserve"> </w:t>
      </w:r>
      <w:r>
        <w:rPr>
          <w:rFonts w:ascii="Times New Roman" w:hAnsi="Times New Roman"/>
          <w:b w:val="0"/>
          <w:snapToGrid/>
          <w:sz w:val="22"/>
          <w:szCs w:val="22"/>
          <w:highlight w:val="yellow"/>
        </w:rPr>
        <w:t>ils doivent être insérés</w:t>
      </w:r>
      <w:r>
        <w:rPr>
          <w:rFonts w:ascii="Times New Roman" w:hAnsi="Times New Roman"/>
          <w:b w:val="0"/>
          <w:snapToGrid/>
          <w:sz w:val="22"/>
          <w:szCs w:val="22"/>
        </w:rPr>
        <w:t xml:space="preserve"> si nécessaire et ne doivent être modifiés qu’à titre exceptionnel, en fonction des exigences propres à certains appels d’offres. </w:t>
      </w:r>
      <w:r>
        <w:rPr>
          <w:rFonts w:ascii="Times New Roman" w:hAnsi="Times New Roman"/>
          <w:snapToGrid/>
          <w:sz w:val="22"/>
          <w:szCs w:val="22"/>
        </w:rPr>
        <w:t>Tous les autres éléments du présent avis doivent rester inchangés.</w:t>
      </w:r>
      <w:r>
        <w:rPr>
          <w:rFonts w:ascii="Times New Roman" w:hAnsi="Times New Roman"/>
          <w:b w:val="0"/>
          <w:snapToGrid/>
          <w:sz w:val="22"/>
          <w:szCs w:val="22"/>
        </w:rPr>
        <w:t xml:space="preserve"> Dans la version finale de l’avis, n’oubliez pas de supprimer le présent paragraphe, tout autre texte affiché sur fond jaune et tous les crochets.</w:t>
      </w:r>
    </w:p>
    <w:p w:rsidR="00EC6ED8" w:rsidRPr="00926E61" w:rsidRDefault="00EC6ED8" w:rsidP="00EC6ED8">
      <w:pPr>
        <w:keepNext/>
        <w:widowControl/>
        <w:outlineLvl w:val="0"/>
        <w:rPr>
          <w:rStyle w:val="Strong"/>
          <w:sz w:val="22"/>
          <w:szCs w:val="22"/>
          <w:highlight w:val="lightGray"/>
        </w:rPr>
      </w:pPr>
      <w:r>
        <w:rPr>
          <w:b/>
          <w:sz w:val="22"/>
          <w:szCs w:val="22"/>
          <w:u w:val="single"/>
        </w:rPr>
        <w:t>II.1.1) Intitulé de l’avis de marché:</w:t>
      </w:r>
      <w:r>
        <w:rPr>
          <w:b/>
          <w:sz w:val="22"/>
          <w:szCs w:val="22"/>
        </w:rPr>
        <w:t xml:space="preserve"> </w:t>
      </w:r>
      <w:r>
        <w:rPr>
          <w:b/>
          <w:sz w:val="22"/>
          <w:szCs w:val="22"/>
          <w:highlight w:val="yellow"/>
        </w:rPr>
        <w:t>&lt;intitulé de l’avis de marché&gt;</w:t>
      </w:r>
      <w:r>
        <w:br/>
      </w:r>
      <w:r>
        <w:rPr>
          <w:b/>
          <w:sz w:val="22"/>
          <w:szCs w:val="22"/>
          <w:u w:val="single"/>
        </w:rPr>
        <w:t>II.1.1) Numéro de référence de l’avis de marché:</w:t>
      </w:r>
      <w:r>
        <w:rPr>
          <w:sz w:val="22"/>
          <w:szCs w:val="22"/>
          <w:u w:val="single"/>
        </w:rPr>
        <w:t xml:space="preserve"> </w:t>
      </w:r>
      <w:r>
        <w:rPr>
          <w:b/>
          <w:sz w:val="22"/>
          <w:szCs w:val="22"/>
          <w:highlight w:val="yellow"/>
        </w:rPr>
        <w:t>&lt;numéro de référence de l’avis de marché&gt;</w:t>
      </w:r>
      <w:r>
        <w:rPr>
          <w:sz w:val="22"/>
          <w:szCs w:val="22"/>
        </w:rPr>
        <w:br/>
      </w:r>
      <w:r>
        <w:rPr>
          <w:sz w:val="22"/>
          <w:szCs w:val="22"/>
        </w:rPr>
        <w:br/>
      </w:r>
      <w:r>
        <w:rPr>
          <w:sz w:val="22"/>
          <w:szCs w:val="22"/>
        </w:rPr>
        <w:br/>
      </w:r>
      <w:r>
        <w:rPr>
          <w:rStyle w:val="Strong"/>
          <w:sz w:val="22"/>
          <w:szCs w:val="22"/>
        </w:rPr>
        <w:t>[</w:t>
      </w:r>
      <w:r>
        <w:rPr>
          <w:rStyle w:val="Strong"/>
          <w:sz w:val="22"/>
          <w:szCs w:val="22"/>
          <w:highlight w:val="yellow"/>
        </w:rPr>
        <w:t>Le cas échéant:</w:t>
      </w:r>
      <w:r>
        <w:rPr>
          <w:rStyle w:val="Strong"/>
          <w:sz w:val="22"/>
          <w:szCs w:val="22"/>
        </w:rPr>
        <w:t xml:space="preserve"> </w:t>
      </w:r>
      <w:r>
        <w:rPr>
          <w:rStyle w:val="Strong"/>
          <w:sz w:val="22"/>
          <w:szCs w:val="22"/>
          <w:highlight w:val="lightGray"/>
          <w:u w:val="single"/>
        </w:rPr>
        <w:t>IV.2) Renseignements d’ordre administratif</w:t>
      </w:r>
    </w:p>
    <w:p w:rsidR="00DF020D" w:rsidRDefault="00EC6ED8" w:rsidP="00EC6ED8">
      <w:pPr>
        <w:keepNext/>
        <w:widowControl/>
        <w:outlineLvl w:val="0"/>
        <w:rPr>
          <w:rStyle w:val="Strong"/>
          <w:b w:val="0"/>
          <w:sz w:val="22"/>
          <w:szCs w:val="22"/>
          <w:highlight w:val="lightGray"/>
        </w:rPr>
      </w:pPr>
      <w:r>
        <w:rPr>
          <w:rStyle w:val="Strong"/>
          <w:b w:val="0"/>
          <w:sz w:val="22"/>
          <w:szCs w:val="22"/>
          <w:highlight w:val="lightGray"/>
        </w:rPr>
        <w:t>IV.2.1) Publication antérieure relative à la présente procédure</w:t>
      </w:r>
    </w:p>
    <w:p w:rsidR="00EC6ED8" w:rsidRDefault="00EC6ED8" w:rsidP="00EC6ED8">
      <w:pPr>
        <w:keepNext/>
        <w:widowControl/>
        <w:outlineLvl w:val="0"/>
        <w:rPr>
          <w:rStyle w:val="Strong"/>
          <w:b w:val="0"/>
          <w:sz w:val="22"/>
          <w:szCs w:val="22"/>
        </w:rPr>
      </w:pPr>
      <w:r>
        <w:rPr>
          <w:rStyle w:val="Strong"/>
          <w:b w:val="0"/>
          <w:sz w:val="22"/>
          <w:szCs w:val="22"/>
          <w:highlight w:val="lightGray"/>
        </w:rPr>
        <w:t>Numéro de l’avis au JO S:</w:t>
      </w:r>
      <w:r>
        <w:rPr>
          <w:rStyle w:val="Strong"/>
          <w:b w:val="0"/>
          <w:sz w:val="22"/>
          <w:szCs w:val="22"/>
          <w:highlight w:val="yellow"/>
        </w:rPr>
        <w:t xml:space="preserve"> &lt;numéro à 4 chiffres&gt;/S &lt;numéro à 2 ou 3 chiffres&gt;_&lt;numéro à 5 chiffres&gt;</w:t>
      </w:r>
      <w:r>
        <w:rPr>
          <w:rStyle w:val="Strong"/>
          <w:b w:val="0"/>
          <w:sz w:val="22"/>
          <w:szCs w:val="22"/>
          <w:highlight w:val="lightGray"/>
        </w:rPr>
        <w:t>]</w:t>
      </w:r>
      <w:r>
        <w:br/>
      </w:r>
      <w:r>
        <w:br/>
      </w:r>
      <w:r>
        <w:br/>
      </w:r>
      <w:r>
        <w:rPr>
          <w:rStyle w:val="Strong"/>
          <w:sz w:val="22"/>
          <w:szCs w:val="22"/>
          <w:u w:val="single"/>
        </w:rPr>
        <w:t>Section V: attribution du marché</w:t>
      </w:r>
    </w:p>
    <w:p w:rsidR="00581ACC" w:rsidRPr="000C1D20" w:rsidRDefault="00581ACC" w:rsidP="00581ACC">
      <w:pPr>
        <w:spacing w:beforeAutospacing="1" w:afterAutospacing="1"/>
        <w:rPr>
          <w:sz w:val="22"/>
          <w:szCs w:val="22"/>
        </w:rPr>
      </w:pPr>
      <w:r>
        <w:rPr>
          <w:sz w:val="22"/>
          <w:szCs w:val="22"/>
        </w:rPr>
        <w:t xml:space="preserve">Marché nº </w:t>
      </w:r>
      <w:r>
        <w:rPr>
          <w:sz w:val="22"/>
          <w:szCs w:val="22"/>
          <w:highlight w:val="yellow"/>
        </w:rPr>
        <w:t>&lt;numéro&gt;</w:t>
      </w:r>
      <w:r>
        <w:br/>
      </w:r>
      <w:r>
        <w:rPr>
          <w:sz w:val="22"/>
          <w:szCs w:val="22"/>
          <w:highlight w:val="lightGray"/>
        </w:rPr>
        <w:t>[</w:t>
      </w:r>
      <w:r>
        <w:rPr>
          <w:sz w:val="22"/>
          <w:szCs w:val="22"/>
          <w:highlight w:val="yellow"/>
        </w:rPr>
        <w:t>le cas échéant Lot nº &lt;numéro&gt;</w:t>
      </w:r>
      <w:r>
        <w:rPr>
          <w:sz w:val="22"/>
          <w:szCs w:val="22"/>
        </w:rPr>
        <w:t>]</w:t>
      </w:r>
      <w:r>
        <w:br/>
      </w:r>
      <w:r>
        <w:rPr>
          <w:sz w:val="22"/>
          <w:szCs w:val="22"/>
        </w:rPr>
        <w:t xml:space="preserve">Intitulé: </w:t>
      </w:r>
      <w:r>
        <w:rPr>
          <w:sz w:val="22"/>
          <w:szCs w:val="22"/>
          <w:highlight w:val="yellow"/>
        </w:rPr>
        <w:t>&lt;intitulé&gt;</w:t>
      </w:r>
    </w:p>
    <w:p w:rsidR="00EC6ED8" w:rsidRPr="00581ACC" w:rsidRDefault="00581ACC" w:rsidP="00EC6ED8">
      <w:pPr>
        <w:keepNext/>
        <w:widowControl/>
        <w:outlineLvl w:val="0"/>
        <w:rPr>
          <w:rStyle w:val="Strong"/>
          <w:b w:val="0"/>
          <w:sz w:val="22"/>
          <w:szCs w:val="22"/>
        </w:rPr>
      </w:pPr>
      <w:r>
        <w:rPr>
          <w:rStyle w:val="Strong"/>
          <w:b w:val="0"/>
          <w:sz w:val="22"/>
          <w:szCs w:val="22"/>
        </w:rPr>
        <w:t>Un marché/lot est attribué: non</w:t>
      </w:r>
      <w:r>
        <w:br/>
      </w:r>
      <w:r>
        <w:br/>
      </w:r>
      <w:r>
        <w:br/>
      </w:r>
      <w:r>
        <w:rPr>
          <w:rStyle w:val="Strong"/>
          <w:sz w:val="22"/>
          <w:szCs w:val="22"/>
          <w:u w:val="single"/>
        </w:rPr>
        <w:t>V.1) Informations relatives à la non-attribution</w:t>
      </w:r>
    </w:p>
    <w:p w:rsidR="00EC6ED8" w:rsidRDefault="00EC6ED8" w:rsidP="00EC6ED8">
      <w:pPr>
        <w:keepNext/>
        <w:widowControl/>
        <w:outlineLvl w:val="0"/>
        <w:rPr>
          <w:rStyle w:val="Strong"/>
          <w:b w:val="0"/>
          <w:sz w:val="22"/>
          <w:szCs w:val="22"/>
        </w:rPr>
      </w:pPr>
      <w:r>
        <w:rPr>
          <w:rStyle w:val="Strong"/>
          <w:b w:val="0"/>
          <w:sz w:val="22"/>
          <w:szCs w:val="22"/>
        </w:rPr>
        <w:t>Le marché/lot n’est pas attribué:</w:t>
      </w:r>
    </w:p>
    <w:p w:rsidR="00EC6ED8" w:rsidRDefault="00EC6ED8" w:rsidP="00EC6ED8">
      <w:pPr>
        <w:keepNext/>
        <w:widowControl/>
        <w:outlineLvl w:val="0"/>
        <w:rPr>
          <w:rStyle w:val="Strong"/>
          <w:b w:val="0"/>
          <w:sz w:val="22"/>
          <w:szCs w:val="22"/>
        </w:rPr>
      </w:pPr>
      <w:r>
        <w:rPr>
          <w:rStyle w:val="Strong"/>
          <w:b w:val="0"/>
          <w:sz w:val="22"/>
          <w:szCs w:val="22"/>
          <w:highlight w:val="lightGray"/>
        </w:rPr>
        <w:t>[Aucune offre ou demande de participation n’a été reçu</w:t>
      </w:r>
      <w:bookmarkStart w:id="0" w:name="_GoBack"/>
      <w:bookmarkEnd w:id="0"/>
      <w:r>
        <w:rPr>
          <w:rStyle w:val="Strong"/>
          <w:b w:val="0"/>
          <w:sz w:val="22"/>
          <w:szCs w:val="22"/>
          <w:highlight w:val="lightGray"/>
        </w:rPr>
        <w:t>e ou elles ont toutes été rejetées.]</w:t>
      </w:r>
    </w:p>
    <w:p w:rsidR="00EC6ED8" w:rsidRPr="00EC6ED8" w:rsidRDefault="00EC6ED8" w:rsidP="00EC6ED8">
      <w:pPr>
        <w:keepNext/>
        <w:widowControl/>
        <w:outlineLvl w:val="0"/>
        <w:rPr>
          <w:rStyle w:val="Strong"/>
          <w:b w:val="0"/>
          <w:sz w:val="22"/>
          <w:szCs w:val="22"/>
        </w:rPr>
      </w:pPr>
      <w:r>
        <w:rPr>
          <w:rStyle w:val="Strong"/>
          <w:b w:val="0"/>
          <w:sz w:val="22"/>
          <w:szCs w:val="22"/>
          <w:highlight w:val="lightGray"/>
        </w:rPr>
        <w:t xml:space="preserve">[Autres raisons (interruption de la procédure). Référence de l’avis: </w:t>
      </w:r>
      <w:r>
        <w:rPr>
          <w:rStyle w:val="Strong"/>
          <w:b w:val="0"/>
          <w:sz w:val="22"/>
          <w:szCs w:val="22"/>
          <w:highlight w:val="yellow"/>
        </w:rPr>
        <w:t>&lt;année (4 chiffres)&gt;–&lt;numéro du document&gt;</w:t>
      </w:r>
      <w:r>
        <w:rPr>
          <w:rStyle w:val="Strong"/>
          <w:b w:val="0"/>
          <w:sz w:val="22"/>
          <w:szCs w:val="22"/>
          <w:highlight w:val="lightGray"/>
        </w:rPr>
        <w:t>]</w:t>
      </w:r>
    </w:p>
    <w:p w:rsidR="00926E61" w:rsidRPr="00926E61" w:rsidRDefault="00581ACC" w:rsidP="00926E61">
      <w:pPr>
        <w:jc w:val="both"/>
        <w:rPr>
          <w:rStyle w:val="Strong"/>
          <w:sz w:val="22"/>
          <w:szCs w:val="22"/>
          <w:u w:val="single"/>
        </w:rPr>
      </w:pPr>
      <w:r>
        <w:t xml:space="preserve"> </w:t>
      </w:r>
      <w:r>
        <w:br/>
      </w:r>
      <w:r>
        <w:rPr>
          <w:rStyle w:val="Strong"/>
          <w:sz w:val="22"/>
          <w:szCs w:val="22"/>
          <w:u w:val="single"/>
        </w:rPr>
        <w:t>VI.3) Informations complémentaires</w:t>
      </w:r>
    </w:p>
    <w:p w:rsidR="00B448FA" w:rsidRDefault="00B448FA" w:rsidP="00926E61">
      <w:pPr>
        <w:jc w:val="both"/>
        <w:rPr>
          <w:sz w:val="22"/>
          <w:szCs w:val="22"/>
        </w:rPr>
      </w:pPr>
      <w:r>
        <w:rPr>
          <w:sz w:val="22"/>
          <w:szCs w:val="22"/>
        </w:rPr>
        <w:t>En cas de lancement d’une nouvelle procédure d’appel d’offres pour le présent projet, un nouvel avis de marché sera publié, sauf si le marché est attribué en procédure négociée, auquel cas seul l’avis d’attribution sera publié.</w:t>
      </w:r>
    </w:p>
    <w:p w:rsidR="00B448FA" w:rsidRPr="00664635" w:rsidRDefault="008D180E">
      <w:pPr>
        <w:jc w:val="both"/>
        <w:rPr>
          <w:sz w:val="22"/>
          <w:szCs w:val="22"/>
        </w:rPr>
      </w:pPr>
      <w:r>
        <w:rPr>
          <w:sz w:val="22"/>
          <w:szCs w:val="22"/>
          <w:highlight w:val="yellow"/>
        </w:rPr>
        <w:t>&lt;Autres informations complémentaires&gt;</w:t>
      </w:r>
    </w:p>
    <w:sectPr w:rsidR="00B448FA" w:rsidRPr="00664635" w:rsidSect="009B6A1C">
      <w:headerReference w:type="even" r:id="rId8"/>
      <w:headerReference w:type="default" r:id="rId9"/>
      <w:footerReference w:type="even" r:id="rId10"/>
      <w:footerReference w:type="default" r:id="rId11"/>
      <w:headerReference w:type="first" r:id="rId12"/>
      <w:footerReference w:type="first" r:id="rId13"/>
      <w:pgSz w:w="12240" w:h="15840"/>
      <w:pgMar w:top="1097" w:right="1440" w:bottom="1440" w:left="1440" w:header="709" w:footer="5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53" w:rsidRDefault="00396D53">
      <w:r>
        <w:separator/>
      </w:r>
    </w:p>
  </w:endnote>
  <w:endnote w:type="continuationSeparator" w:id="0">
    <w:p w:rsidR="00396D53" w:rsidRDefault="0039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B3" w:rsidRDefault="00A32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EE" w:rsidRDefault="00A32CB3" w:rsidP="008812A6">
    <w:pPr>
      <w:pStyle w:val="Footer"/>
      <w:tabs>
        <w:tab w:val="right" w:pos="14040"/>
      </w:tabs>
      <w:spacing w:after="0"/>
      <w:rPr>
        <w:szCs w:val="18"/>
      </w:rPr>
    </w:pPr>
    <w:r>
      <w:rPr>
        <w:b/>
        <w:sz w:val="18"/>
        <w:szCs w:val="18"/>
      </w:rPr>
      <w:t>2021</w:t>
    </w:r>
    <w:r w:rsidR="00544A57">
      <w:rPr>
        <w:b/>
        <w:sz w:val="18"/>
        <w:szCs w:val="18"/>
      </w:rPr>
      <w:t>.1</w:t>
    </w:r>
  </w:p>
  <w:p w:rsidR="009B6A1C" w:rsidRPr="009B6A1C" w:rsidRDefault="009B6A1C" w:rsidP="009B6A1C">
    <w:pPr>
      <w:pStyle w:val="Footer"/>
      <w:spacing w:before="0" w:after="0"/>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8812A6">
      <w:rPr>
        <w:noProof/>
        <w:sz w:val="18"/>
        <w:szCs w:val="18"/>
      </w:rPr>
      <w:t>a5a_cancnotice_Ind Man only_fr.docx</w:t>
    </w:r>
    <w:r>
      <w:rPr>
        <w:sz w:val="18"/>
        <w:szCs w:val="18"/>
      </w:rPr>
      <w:fldChar w:fldCharType="end"/>
    </w:r>
    <w:r>
      <w:tab/>
    </w:r>
    <w:r>
      <w:tab/>
    </w:r>
    <w:r>
      <w:rPr>
        <w:sz w:val="18"/>
        <w:szCs w:val="18"/>
      </w:rPr>
      <w:t>Page </w:t>
    </w:r>
    <w:r>
      <w:rPr>
        <w:sz w:val="18"/>
        <w:szCs w:val="18"/>
      </w:rPr>
      <w:fldChar w:fldCharType="begin"/>
    </w:r>
    <w:r>
      <w:rPr>
        <w:sz w:val="18"/>
        <w:szCs w:val="18"/>
      </w:rPr>
      <w:instrText xml:space="preserve"> PAGE   \* MERGEFORMAT </w:instrText>
    </w:r>
    <w:r>
      <w:rPr>
        <w:sz w:val="18"/>
        <w:szCs w:val="18"/>
      </w:rPr>
      <w:fldChar w:fldCharType="separate"/>
    </w:r>
    <w:r w:rsidR="00544A57">
      <w:rPr>
        <w:noProof/>
        <w:sz w:val="18"/>
        <w:szCs w:val="18"/>
      </w:rPr>
      <w:t>1</w:t>
    </w:r>
    <w:r>
      <w:rPr>
        <w:sz w:val="18"/>
        <w:szCs w:val="18"/>
      </w:rPr>
      <w:fldChar w:fldCharType="end"/>
    </w:r>
    <w:r>
      <w:rPr>
        <w:sz w:val="18"/>
        <w:szCs w:val="18"/>
      </w:rPr>
      <w:t xml:space="preserve"> sur </w:t>
    </w:r>
    <w:r>
      <w:rPr>
        <w:sz w:val="18"/>
        <w:szCs w:val="18"/>
      </w:rPr>
      <w:fldChar w:fldCharType="begin"/>
    </w:r>
    <w:r>
      <w:rPr>
        <w:sz w:val="18"/>
        <w:szCs w:val="18"/>
      </w:rPr>
      <w:instrText xml:space="preserve"> NUMPAGES   \* MERGEFORMAT </w:instrText>
    </w:r>
    <w:r>
      <w:rPr>
        <w:sz w:val="18"/>
        <w:szCs w:val="18"/>
      </w:rPr>
      <w:fldChar w:fldCharType="separate"/>
    </w:r>
    <w:r w:rsidR="00544A57">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B3" w:rsidRDefault="00A3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53" w:rsidRDefault="00396D53">
      <w:r>
        <w:separator/>
      </w:r>
    </w:p>
  </w:footnote>
  <w:footnote w:type="continuationSeparator" w:id="0">
    <w:p w:rsidR="00396D53" w:rsidRDefault="0039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B3" w:rsidRDefault="00A3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57" w:rsidRPr="00C81557" w:rsidRDefault="00C81557" w:rsidP="00C81557">
    <w:pPr>
      <w:jc w:val="right"/>
      <w:rPr>
        <w:b/>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B3" w:rsidRDefault="00A32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0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74EA2"/>
    <w:rsid w:val="0001248B"/>
    <w:rsid w:val="00015999"/>
    <w:rsid w:val="000228BD"/>
    <w:rsid w:val="000553B0"/>
    <w:rsid w:val="00062477"/>
    <w:rsid w:val="00067017"/>
    <w:rsid w:val="000707FA"/>
    <w:rsid w:val="0009300B"/>
    <w:rsid w:val="000F095A"/>
    <w:rsid w:val="000F6A13"/>
    <w:rsid w:val="001115FA"/>
    <w:rsid w:val="00122136"/>
    <w:rsid w:val="001327A2"/>
    <w:rsid w:val="001B4753"/>
    <w:rsid w:val="001E0E68"/>
    <w:rsid w:val="002047DF"/>
    <w:rsid w:val="00210CA6"/>
    <w:rsid w:val="002206AD"/>
    <w:rsid w:val="00242259"/>
    <w:rsid w:val="00246EF2"/>
    <w:rsid w:val="0027149B"/>
    <w:rsid w:val="00297327"/>
    <w:rsid w:val="002B4E67"/>
    <w:rsid w:val="003101B4"/>
    <w:rsid w:val="00333F4F"/>
    <w:rsid w:val="00340A50"/>
    <w:rsid w:val="00360EDD"/>
    <w:rsid w:val="00363F75"/>
    <w:rsid w:val="00386ABC"/>
    <w:rsid w:val="003950EB"/>
    <w:rsid w:val="00396D53"/>
    <w:rsid w:val="003A0345"/>
    <w:rsid w:val="003C4856"/>
    <w:rsid w:val="003C509E"/>
    <w:rsid w:val="003E07F2"/>
    <w:rsid w:val="003E6A35"/>
    <w:rsid w:val="003E74DC"/>
    <w:rsid w:val="00422600"/>
    <w:rsid w:val="00427B34"/>
    <w:rsid w:val="004361B8"/>
    <w:rsid w:val="004376D5"/>
    <w:rsid w:val="00496969"/>
    <w:rsid w:val="004B614B"/>
    <w:rsid w:val="004C01BA"/>
    <w:rsid w:val="004C488B"/>
    <w:rsid w:val="004E3FED"/>
    <w:rsid w:val="00507E67"/>
    <w:rsid w:val="005124A6"/>
    <w:rsid w:val="00512E2B"/>
    <w:rsid w:val="00513F4E"/>
    <w:rsid w:val="00544A57"/>
    <w:rsid w:val="00556E73"/>
    <w:rsid w:val="00557353"/>
    <w:rsid w:val="00570FBE"/>
    <w:rsid w:val="00581ACC"/>
    <w:rsid w:val="00591F79"/>
    <w:rsid w:val="00592E8C"/>
    <w:rsid w:val="005D2810"/>
    <w:rsid w:val="00664635"/>
    <w:rsid w:val="006675B9"/>
    <w:rsid w:val="006A1E7B"/>
    <w:rsid w:val="006E7086"/>
    <w:rsid w:val="006F2C67"/>
    <w:rsid w:val="00703FC4"/>
    <w:rsid w:val="00711B30"/>
    <w:rsid w:val="00727CEE"/>
    <w:rsid w:val="0078198F"/>
    <w:rsid w:val="00797F1E"/>
    <w:rsid w:val="007E276E"/>
    <w:rsid w:val="007F5CFD"/>
    <w:rsid w:val="00814656"/>
    <w:rsid w:val="00862D26"/>
    <w:rsid w:val="00874EA2"/>
    <w:rsid w:val="008812A6"/>
    <w:rsid w:val="008943D0"/>
    <w:rsid w:val="008A0C10"/>
    <w:rsid w:val="008A3F4C"/>
    <w:rsid w:val="008D180E"/>
    <w:rsid w:val="00926E61"/>
    <w:rsid w:val="00930C06"/>
    <w:rsid w:val="0093664B"/>
    <w:rsid w:val="00981097"/>
    <w:rsid w:val="00987DE6"/>
    <w:rsid w:val="00993F23"/>
    <w:rsid w:val="009A115A"/>
    <w:rsid w:val="009A4E17"/>
    <w:rsid w:val="009A5A7F"/>
    <w:rsid w:val="009B5671"/>
    <w:rsid w:val="009B5E88"/>
    <w:rsid w:val="009B6A1C"/>
    <w:rsid w:val="009D6E0C"/>
    <w:rsid w:val="00A05031"/>
    <w:rsid w:val="00A32CB3"/>
    <w:rsid w:val="00A546F6"/>
    <w:rsid w:val="00A62639"/>
    <w:rsid w:val="00A67484"/>
    <w:rsid w:val="00A705B8"/>
    <w:rsid w:val="00A827EA"/>
    <w:rsid w:val="00A84FF9"/>
    <w:rsid w:val="00A87F93"/>
    <w:rsid w:val="00AA720E"/>
    <w:rsid w:val="00AB418B"/>
    <w:rsid w:val="00AD00EC"/>
    <w:rsid w:val="00AE62B2"/>
    <w:rsid w:val="00AF14AA"/>
    <w:rsid w:val="00AF3706"/>
    <w:rsid w:val="00B070E3"/>
    <w:rsid w:val="00B07E4D"/>
    <w:rsid w:val="00B242CE"/>
    <w:rsid w:val="00B33D8A"/>
    <w:rsid w:val="00B36F33"/>
    <w:rsid w:val="00B448FA"/>
    <w:rsid w:val="00B700C0"/>
    <w:rsid w:val="00B74155"/>
    <w:rsid w:val="00B76B0A"/>
    <w:rsid w:val="00BB15E0"/>
    <w:rsid w:val="00BC091D"/>
    <w:rsid w:val="00BC142D"/>
    <w:rsid w:val="00BE7B32"/>
    <w:rsid w:val="00BF094D"/>
    <w:rsid w:val="00C00E4B"/>
    <w:rsid w:val="00C81557"/>
    <w:rsid w:val="00CB4A89"/>
    <w:rsid w:val="00D035B7"/>
    <w:rsid w:val="00D0434A"/>
    <w:rsid w:val="00D1599D"/>
    <w:rsid w:val="00D72C33"/>
    <w:rsid w:val="00D7470E"/>
    <w:rsid w:val="00D74C7D"/>
    <w:rsid w:val="00DA14E1"/>
    <w:rsid w:val="00DB103E"/>
    <w:rsid w:val="00DC2C99"/>
    <w:rsid w:val="00DC4D5F"/>
    <w:rsid w:val="00DD00B3"/>
    <w:rsid w:val="00DF020D"/>
    <w:rsid w:val="00E011CF"/>
    <w:rsid w:val="00E175B9"/>
    <w:rsid w:val="00E51D25"/>
    <w:rsid w:val="00E5722A"/>
    <w:rsid w:val="00E630EA"/>
    <w:rsid w:val="00E759C5"/>
    <w:rsid w:val="00E975EC"/>
    <w:rsid w:val="00EA31FD"/>
    <w:rsid w:val="00EB21CA"/>
    <w:rsid w:val="00EC0328"/>
    <w:rsid w:val="00EC6ED8"/>
    <w:rsid w:val="00EF431F"/>
    <w:rsid w:val="00F06429"/>
    <w:rsid w:val="00F213C9"/>
    <w:rsid w:val="00F25208"/>
    <w:rsid w:val="00F34282"/>
    <w:rsid w:val="00F568CA"/>
    <w:rsid w:val="00FA382A"/>
    <w:rsid w:val="00FA3A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3F9B45D"/>
  <w15:chartTrackingRefBased/>
  <w15:docId w15:val="{9CB3F7D1-0D9B-4121-B705-AD5BAE2C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3101B4"/>
    <w:pPr>
      <w:tabs>
        <w:tab w:val="center" w:pos="4536"/>
        <w:tab w:val="right" w:pos="9072"/>
      </w:tabs>
    </w:pPr>
  </w:style>
  <w:style w:type="paragraph" w:styleId="Footer">
    <w:name w:val="footer"/>
    <w:basedOn w:val="Normal"/>
    <w:link w:val="FooterChar"/>
    <w:rsid w:val="003101B4"/>
    <w:pPr>
      <w:tabs>
        <w:tab w:val="center" w:pos="4536"/>
        <w:tab w:val="right" w:pos="9072"/>
      </w:tabs>
    </w:pPr>
  </w:style>
  <w:style w:type="character" w:styleId="PageNumber">
    <w:name w:val="page number"/>
    <w:basedOn w:val="DefaultParagraphFont"/>
    <w:rsid w:val="006A1E7B"/>
  </w:style>
  <w:style w:type="paragraph" w:styleId="BalloonText">
    <w:name w:val="Balloon Text"/>
    <w:basedOn w:val="Normal"/>
    <w:semiHidden/>
    <w:rsid w:val="009A5A7F"/>
    <w:rPr>
      <w:rFonts w:ascii="Tahoma" w:hAnsi="Tahoma" w:cs="Tahoma"/>
      <w:sz w:val="16"/>
      <w:szCs w:val="16"/>
    </w:rPr>
  </w:style>
  <w:style w:type="paragraph" w:styleId="FootnoteText">
    <w:name w:val="footnote text"/>
    <w:basedOn w:val="Normal"/>
    <w:link w:val="FootnoteTextChar"/>
    <w:rsid w:val="00512E2B"/>
    <w:rPr>
      <w:sz w:val="20"/>
    </w:rPr>
  </w:style>
  <w:style w:type="character" w:customStyle="1" w:styleId="FootnoteTextChar">
    <w:name w:val="Footnote Text Char"/>
    <w:link w:val="FootnoteText"/>
    <w:rsid w:val="00512E2B"/>
    <w:rPr>
      <w:snapToGrid w:val="0"/>
      <w:lang w:val="fr-FR" w:eastAsia="en-US"/>
    </w:rPr>
  </w:style>
  <w:style w:type="character" w:styleId="FootnoteReference">
    <w:name w:val="footnote reference"/>
    <w:rsid w:val="00512E2B"/>
    <w:rPr>
      <w:vertAlign w:val="superscript"/>
    </w:rPr>
  </w:style>
  <w:style w:type="character" w:styleId="CommentReference">
    <w:name w:val="annotation reference"/>
    <w:rsid w:val="003E07F2"/>
    <w:rPr>
      <w:sz w:val="16"/>
      <w:szCs w:val="16"/>
    </w:rPr>
  </w:style>
  <w:style w:type="paragraph" w:styleId="CommentText">
    <w:name w:val="annotation text"/>
    <w:basedOn w:val="Normal"/>
    <w:link w:val="CommentTextChar"/>
    <w:rsid w:val="003E07F2"/>
    <w:rPr>
      <w:sz w:val="20"/>
    </w:rPr>
  </w:style>
  <w:style w:type="character" w:customStyle="1" w:styleId="CommentTextChar">
    <w:name w:val="Comment Text Char"/>
    <w:link w:val="CommentText"/>
    <w:rsid w:val="003E07F2"/>
    <w:rPr>
      <w:snapToGrid w:val="0"/>
      <w:lang w:val="fr-FR" w:eastAsia="en-US"/>
    </w:rPr>
  </w:style>
  <w:style w:type="paragraph" w:styleId="CommentSubject">
    <w:name w:val="annotation subject"/>
    <w:basedOn w:val="CommentText"/>
    <w:next w:val="CommentText"/>
    <w:link w:val="CommentSubjectChar"/>
    <w:rsid w:val="003E07F2"/>
    <w:rPr>
      <w:b/>
      <w:bCs/>
    </w:rPr>
  </w:style>
  <w:style w:type="character" w:customStyle="1" w:styleId="CommentSubjectChar">
    <w:name w:val="Comment Subject Char"/>
    <w:link w:val="CommentSubject"/>
    <w:rsid w:val="003E07F2"/>
    <w:rPr>
      <w:b/>
      <w:bCs/>
      <w:snapToGrid w:val="0"/>
      <w:lang w:val="fr-FR" w:eastAsia="en-US"/>
    </w:rPr>
  </w:style>
  <w:style w:type="character" w:customStyle="1" w:styleId="FooterChar">
    <w:name w:val="Footer Char"/>
    <w:link w:val="Footer"/>
    <w:rsid w:val="009B6A1C"/>
    <w:rPr>
      <w:snapToGrid w:val="0"/>
      <w:sz w:val="24"/>
      <w:lang w:val="fr-FR" w:eastAsia="en-US"/>
    </w:rPr>
  </w:style>
  <w:style w:type="paragraph" w:styleId="Subtitle">
    <w:name w:val="Subtitle"/>
    <w:basedOn w:val="Normal"/>
    <w:link w:val="SubtitleChar"/>
    <w:qFormat/>
    <w:rsid w:val="00EC6ED8"/>
    <w:pPr>
      <w:widowControl/>
      <w:spacing w:before="120" w:after="120"/>
      <w:jc w:val="center"/>
    </w:pPr>
    <w:rPr>
      <w:rFonts w:ascii="Arial" w:hAnsi="Arial"/>
      <w:b/>
      <w:sz w:val="28"/>
    </w:rPr>
  </w:style>
  <w:style w:type="character" w:customStyle="1" w:styleId="SubtitleChar">
    <w:name w:val="Subtitle Char"/>
    <w:basedOn w:val="DefaultParagraphFont"/>
    <w:link w:val="Subtitle"/>
    <w:rsid w:val="00EC6ED8"/>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D69B2-2720-4B66-9B66-B890B7DE4551}">
  <ds:schemaRefs>
    <ds:schemaRef ds:uri="http://schemas.openxmlformats.org/officeDocument/2006/bibliography"/>
  </ds:schemaRefs>
</ds:datastoreItem>
</file>

<file path=customXml/itemProps2.xml><?xml version="1.0" encoding="utf-8"?>
<ds:datastoreItem xmlns:ds="http://schemas.openxmlformats.org/officeDocument/2006/customXml" ds:itemID="{0EE41F40-CF85-46A7-A314-AE77A8B5093D}"/>
</file>

<file path=customXml/itemProps3.xml><?xml version="1.0" encoding="utf-8"?>
<ds:datastoreItem xmlns:ds="http://schemas.openxmlformats.org/officeDocument/2006/customXml" ds:itemID="{EB103889-7D3D-4603-B497-1EE6F5419C21}"/>
</file>

<file path=customXml/itemProps4.xml><?xml version="1.0" encoding="utf-8"?>
<ds:datastoreItem xmlns:ds="http://schemas.openxmlformats.org/officeDocument/2006/customXml" ds:itemID="{B9AFFBCC-D94B-4F36-B55F-2FB4768E2250}"/>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1813</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A5 cancellation</vt:lpstr>
    </vt:vector>
  </TitlesOfParts>
  <Company>European Commission</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cancellation</dc:title>
  <dc:subject/>
  <dc:creator>chattob</dc:creator>
  <cp:keywords/>
  <cp:lastModifiedBy>OTERO VEGA Yolanda (DEVCO)</cp:lastModifiedBy>
  <cp:revision>4</cp:revision>
  <cp:lastPrinted>2013-12-16T10:49:00Z</cp:lastPrinted>
  <dcterms:created xsi:type="dcterms:W3CDTF">2021-11-19T10:41:00Z</dcterms:created>
  <dcterms:modified xsi:type="dcterms:W3CDTF">2022-05-19T12:04:00Z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y fmtid="{D5CDD505-2E9C-101B-9397-08002B2CF9AE}" pid="4" name="ContentTypeId">
    <vt:lpwstr>0x010100724FDE23FB365D4CB8B2901107175F9F</vt:lpwstr>
  </property>
</Properties>
</file>