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79" w:rsidRDefault="00330679" w:rsidP="00330679">
      <w:pPr>
        <w:pStyle w:val="titlefront"/>
        <w:ind w:lef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highlight w:val="yellow"/>
        </w:rPr>
        <w:t>À ne pas utiliser pour les subventions et pour les procédures négociées ne faisant intervenir aucun comité d’évaluation conformément à la section 2.6.8 du PRAG.</w:t>
      </w:r>
    </w:p>
    <w:p w:rsidR="00496F30" w:rsidRDefault="00496F30" w:rsidP="00330679">
      <w:pPr>
        <w:pStyle w:val="titlefront"/>
        <w:ind w:lef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</w:p>
    <w:p w:rsidR="00496F30" w:rsidRPr="00C557BF" w:rsidRDefault="00496F30" w:rsidP="00496F30">
      <w:pPr>
        <w:pStyle w:val="Header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&lt;</w:t>
      </w:r>
      <w:r>
        <w:rPr>
          <w:b/>
          <w:sz w:val="22"/>
          <w:szCs w:val="22"/>
          <w:highlight w:val="yellow"/>
        </w:rPr>
        <w:t>En-tête du pouvoir adjudicateur</w:t>
      </w:r>
      <w:r>
        <w:rPr>
          <w:b/>
          <w:sz w:val="22"/>
          <w:szCs w:val="22"/>
        </w:rPr>
        <w:t>&gt;</w:t>
      </w:r>
    </w:p>
    <w:p w:rsidR="00496F30" w:rsidRPr="002D461D" w:rsidRDefault="00496F30" w:rsidP="00330679">
      <w:pPr>
        <w:pStyle w:val="titlefront"/>
        <w:ind w:left="0"/>
        <w:jc w:val="center"/>
        <w:outlineLvl w:val="0"/>
        <w:rPr>
          <w:rFonts w:ascii="Times New Roman" w:hAnsi="Times New Roman"/>
          <w:b w:val="0"/>
          <w:sz w:val="18"/>
          <w:szCs w:val="18"/>
          <w:lang w:val="fr-BE"/>
        </w:rPr>
      </w:pPr>
    </w:p>
    <w:p w:rsidR="00496F30" w:rsidRPr="00C557BF" w:rsidRDefault="00496F30" w:rsidP="00496F30">
      <w:pPr>
        <w:pStyle w:val="Header"/>
        <w:jc w:val="center"/>
        <w:rPr>
          <w:b/>
          <w:caps/>
          <w:sz w:val="28"/>
        </w:rPr>
      </w:pPr>
      <w:r>
        <w:rPr>
          <w:b/>
          <w:caps/>
          <w:sz w:val="28"/>
        </w:rPr>
        <w:t>DÉCISION D’ATTRIBUTION</w:t>
      </w:r>
    </w:p>
    <w:p w:rsidR="00330679" w:rsidRPr="00E63C2B" w:rsidRDefault="00330679" w:rsidP="00330679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RÉF. DE LA PUBLICATION: &lt;</w:t>
      </w:r>
      <w:r>
        <w:rPr>
          <w:rFonts w:ascii="Times New Roman" w:hAnsi="Times New Roman"/>
          <w:sz w:val="22"/>
          <w:szCs w:val="22"/>
          <w:highlight w:val="yellow"/>
        </w:rPr>
        <w:t>Réf.</w:t>
      </w:r>
      <w:r>
        <w:rPr>
          <w:rFonts w:ascii="Times New Roman" w:hAnsi="Times New Roman"/>
          <w:sz w:val="22"/>
          <w:szCs w:val="22"/>
        </w:rPr>
        <w:t>&gt;</w:t>
      </w:r>
      <w:r>
        <w:br/>
      </w:r>
      <w:r>
        <w:br/>
      </w:r>
      <w:r>
        <w:rPr>
          <w:rFonts w:ascii="Times New Roman" w:hAnsi="Times New Roman"/>
          <w:sz w:val="22"/>
          <w:szCs w:val="22"/>
        </w:rPr>
        <w:t>&lt;</w:t>
      </w:r>
      <w:r>
        <w:rPr>
          <w:rFonts w:ascii="Times New Roman" w:hAnsi="Times New Roman"/>
          <w:sz w:val="22"/>
          <w:szCs w:val="22"/>
          <w:highlight w:val="yellow"/>
        </w:rPr>
        <w:t>Intitulé du marché</w:t>
      </w:r>
      <w:r>
        <w:rPr>
          <w:rFonts w:ascii="Times New Roman" w:hAnsi="Times New Roman"/>
          <w:sz w:val="22"/>
          <w:szCs w:val="22"/>
        </w:rPr>
        <w:t>&gt;</w:t>
      </w:r>
    </w:p>
    <w:p w:rsidR="00330679" w:rsidRPr="00E63C2B" w:rsidRDefault="00330679" w:rsidP="00330679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  <w:highlight w:val="lightGray"/>
        </w:rPr>
        <w:t>Numéro et intitulé du lot</w:t>
      </w:r>
      <w:r>
        <w:rPr>
          <w:rFonts w:ascii="Times New Roman" w:hAnsi="Times New Roman"/>
          <w:sz w:val="22"/>
          <w:szCs w:val="22"/>
        </w:rPr>
        <w:t>: &lt;</w:t>
      </w:r>
      <w:r>
        <w:rPr>
          <w:rFonts w:ascii="Times New Roman" w:hAnsi="Times New Roman"/>
          <w:sz w:val="22"/>
          <w:szCs w:val="22"/>
          <w:highlight w:val="yellow"/>
        </w:rPr>
        <w:t>numéro et intitulé</w:t>
      </w:r>
      <w:r>
        <w:rPr>
          <w:rFonts w:ascii="Times New Roman" w:hAnsi="Times New Roman"/>
          <w:sz w:val="22"/>
          <w:szCs w:val="22"/>
        </w:rPr>
        <w:t>&gt;]</w:t>
      </w:r>
    </w:p>
    <w:p w:rsidR="00330679" w:rsidRPr="00E63C2B" w:rsidRDefault="00330679" w:rsidP="00330679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maximal: &lt;</w:t>
      </w:r>
      <w:r>
        <w:rPr>
          <w:rFonts w:ascii="Times New Roman" w:hAnsi="Times New Roman"/>
          <w:sz w:val="22"/>
          <w:szCs w:val="22"/>
          <w:highlight w:val="yellow"/>
        </w:rPr>
        <w:t>montant et monnaie</w:t>
      </w:r>
      <w:r>
        <w:rPr>
          <w:rFonts w:ascii="Times New Roman" w:hAnsi="Times New Roman"/>
          <w:sz w:val="22"/>
          <w:szCs w:val="22"/>
        </w:rPr>
        <w:t>&gt;</w:t>
      </w:r>
    </w:p>
    <w:p w:rsidR="00330679" w:rsidRPr="00E63C2B" w:rsidRDefault="00330679" w:rsidP="00330679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330679" w:rsidRPr="003C2DB6" w:rsidRDefault="00330679" w:rsidP="00330679">
      <w:pPr>
        <w:spacing w:before="120" w:after="120"/>
        <w:ind w:left="567" w:right="424"/>
        <w:jc w:val="both"/>
        <w:rPr>
          <w:sz w:val="22"/>
          <w:szCs w:val="22"/>
        </w:rPr>
      </w:pPr>
      <w:r>
        <w:rPr>
          <w:bCs/>
          <w:sz w:val="22"/>
          <w:szCs w:val="22"/>
        </w:rPr>
        <w:t>Le pouvoir adjudicateur, ayant</w:t>
      </w:r>
      <w:r>
        <w:rPr>
          <w:sz w:val="22"/>
          <w:szCs w:val="22"/>
        </w:rPr>
        <w:t xml:space="preserve"> examiné le rapport de négociation établi par le comité d’évaluation le &lt;</w:t>
      </w:r>
      <w:r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&gt;, prend acte du fait que le comité d’évaluation recommande que &lt;</w:t>
      </w:r>
      <w:r>
        <w:rPr>
          <w:sz w:val="22"/>
          <w:szCs w:val="22"/>
          <w:highlight w:val="yellow"/>
        </w:rPr>
        <w:t>nom du soumissionnaire</w:t>
      </w:r>
      <w:r>
        <w:rPr>
          <w:sz w:val="22"/>
          <w:szCs w:val="22"/>
        </w:rPr>
        <w:t>&gt; se voie attribuer le marché d’un montant de &lt;</w:t>
      </w:r>
      <w:r>
        <w:rPr>
          <w:sz w:val="22"/>
          <w:szCs w:val="22"/>
          <w:highlight w:val="yellow"/>
        </w:rPr>
        <w:t>montant</w:t>
      </w:r>
      <w:r>
        <w:rPr>
          <w:sz w:val="22"/>
          <w:szCs w:val="22"/>
        </w:rPr>
        <w:t>&gt; [</w:t>
      </w:r>
      <w:r>
        <w:rPr>
          <w:sz w:val="22"/>
          <w:szCs w:val="22"/>
          <w:highlight w:val="lightGray"/>
        </w:rPr>
        <w:t>EUR</w:t>
      </w:r>
      <w:r>
        <w:rPr>
          <w:sz w:val="22"/>
          <w:szCs w:val="22"/>
        </w:rPr>
        <w:t>] [&lt;</w:t>
      </w:r>
      <w:r>
        <w:rPr>
          <w:sz w:val="22"/>
          <w:szCs w:val="22"/>
          <w:highlight w:val="yellow"/>
        </w:rPr>
        <w:t>code ISO du pays du pouvoir adjudicateur</w:t>
      </w:r>
      <w:r>
        <w:rPr>
          <w:sz w:val="22"/>
          <w:szCs w:val="22"/>
        </w:rPr>
        <w:t xml:space="preserve">&gt; </w:t>
      </w:r>
      <w:r>
        <w:rPr>
          <w:sz w:val="22"/>
          <w:szCs w:val="22"/>
          <w:highlight w:val="yellow"/>
        </w:rPr>
        <w:t>uniquement en gestion indirecte</w:t>
      </w:r>
      <w:r>
        <w:rPr>
          <w:sz w:val="22"/>
          <w:szCs w:val="22"/>
        </w:rPr>
        <w:t>].</w:t>
      </w:r>
    </w:p>
    <w:p w:rsidR="00330679" w:rsidRPr="003C2DB6" w:rsidRDefault="00330679" w:rsidP="00330679">
      <w:pPr>
        <w:tabs>
          <w:tab w:val="left" w:pos="600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Le pouvoir adjudicateur</w:t>
      </w:r>
    </w:p>
    <w:p w:rsidR="00330679" w:rsidRPr="002D461D" w:rsidRDefault="00330679" w:rsidP="00330679">
      <w:pPr>
        <w:tabs>
          <w:tab w:val="left" w:pos="600"/>
        </w:tabs>
        <w:jc w:val="both"/>
        <w:rPr>
          <w:sz w:val="22"/>
          <w:szCs w:val="22"/>
          <w:lang w:val="fr-BE"/>
        </w:rPr>
      </w:pPr>
    </w:p>
    <w:p w:rsidR="00330679" w:rsidRPr="003C2DB6" w:rsidRDefault="00330679" w:rsidP="00330679">
      <w:pPr>
        <w:tabs>
          <w:tab w:val="left" w:pos="600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[</w:t>
      </w:r>
      <w:r>
        <w:rPr>
          <w:sz w:val="22"/>
          <w:szCs w:val="22"/>
          <w:highlight w:val="lightGray"/>
        </w:rPr>
        <w:t>approuve le rapport de négociation.</w:t>
      </w:r>
    </w:p>
    <w:p w:rsidR="00330679" w:rsidRPr="003C2DB6" w:rsidRDefault="00330679" w:rsidP="00330679">
      <w:pPr>
        <w:tabs>
          <w:tab w:val="left" w:pos="600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Choisissez une option:</w:t>
      </w:r>
    </w:p>
    <w:p w:rsidR="00330679" w:rsidRPr="003C2DB6" w:rsidRDefault="00330679" w:rsidP="00330679">
      <w:pPr>
        <w:tabs>
          <w:tab w:val="left" w:pos="600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  <w:highlight w:val="lightGray"/>
        </w:rPr>
        <w:t>Sur la recommandation du comité d’évaluation, le pouvoir adjudicateur décide d’attribuer le marché à &lt;</w:t>
      </w:r>
      <w:r>
        <w:rPr>
          <w:sz w:val="22"/>
          <w:szCs w:val="22"/>
          <w:highlight w:val="yellow"/>
        </w:rPr>
        <w:t>nom du soumissionnaire</w:t>
      </w:r>
      <w:r>
        <w:rPr>
          <w:sz w:val="22"/>
          <w:szCs w:val="22"/>
          <w:highlight w:val="lightGray"/>
        </w:rPr>
        <w:t>&gt;, qui a présenté l’offre économiquement la plus avantageuse tout en répondant aux critères de sélection.</w:t>
      </w:r>
      <w:r>
        <w:rPr>
          <w:sz w:val="22"/>
          <w:szCs w:val="22"/>
        </w:rPr>
        <w:t>]</w:t>
      </w:r>
    </w:p>
    <w:p w:rsidR="00330679" w:rsidRPr="002D461D" w:rsidRDefault="00330679" w:rsidP="00330679">
      <w:pPr>
        <w:tabs>
          <w:tab w:val="left" w:pos="600"/>
        </w:tabs>
        <w:ind w:left="600"/>
        <w:jc w:val="both"/>
        <w:rPr>
          <w:sz w:val="22"/>
          <w:szCs w:val="22"/>
          <w:lang w:val="fr-BE"/>
        </w:rPr>
      </w:pPr>
    </w:p>
    <w:p w:rsidR="00330679" w:rsidRPr="003C2DB6" w:rsidRDefault="00330679" w:rsidP="00330679">
      <w:pPr>
        <w:tabs>
          <w:tab w:val="left" w:pos="600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ou:</w:t>
      </w:r>
      <w:r>
        <w:rPr>
          <w:sz w:val="22"/>
          <w:szCs w:val="22"/>
        </w:rPr>
        <w:t xml:space="preserve"> [</w:t>
      </w:r>
      <w:r>
        <w:rPr>
          <w:sz w:val="22"/>
          <w:szCs w:val="22"/>
          <w:highlight w:val="lightGray"/>
        </w:rPr>
        <w:t>Toutefois, le pouvoir adjudicateur ne peut suivre la recommandation du comité d’évaluation pour le(s) motif(s) suivant(s): &lt;</w:t>
      </w:r>
      <w:r>
        <w:rPr>
          <w:sz w:val="22"/>
          <w:szCs w:val="22"/>
          <w:highlight w:val="yellow"/>
        </w:rPr>
        <w:t>expliquez</w:t>
      </w:r>
      <w:r>
        <w:rPr>
          <w:sz w:val="22"/>
          <w:szCs w:val="22"/>
          <w:highlight w:val="lightGray"/>
        </w:rPr>
        <w:t>&gt;. En conséquence, le pouvoir adjudicateur décide d’attribuer le marché à &lt;</w:t>
      </w:r>
      <w:r>
        <w:rPr>
          <w:sz w:val="22"/>
          <w:szCs w:val="22"/>
          <w:highlight w:val="yellow"/>
        </w:rPr>
        <w:t>nom du soumissionnaire</w:t>
      </w:r>
      <w:r>
        <w:rPr>
          <w:sz w:val="22"/>
          <w:szCs w:val="22"/>
          <w:highlight w:val="lightGray"/>
        </w:rPr>
        <w:t>&gt;, qui, tout en répondant aux critères de sélection, &lt;</w:t>
      </w:r>
      <w:r>
        <w:rPr>
          <w:sz w:val="22"/>
          <w:szCs w:val="22"/>
          <w:highlight w:val="yellow"/>
        </w:rPr>
        <w:t>indiquez les motifs</w:t>
      </w:r>
      <w:r>
        <w:rPr>
          <w:sz w:val="22"/>
          <w:szCs w:val="22"/>
          <w:highlight w:val="lightGray"/>
        </w:rPr>
        <w:t>&gt;.</w:t>
      </w:r>
      <w:r>
        <w:rPr>
          <w:sz w:val="22"/>
          <w:szCs w:val="22"/>
        </w:rPr>
        <w:t>]</w:t>
      </w:r>
    </w:p>
    <w:p w:rsidR="00330679" w:rsidRPr="002D461D" w:rsidRDefault="00330679" w:rsidP="00330679">
      <w:pPr>
        <w:tabs>
          <w:tab w:val="left" w:pos="600"/>
        </w:tabs>
        <w:jc w:val="both"/>
        <w:rPr>
          <w:sz w:val="22"/>
          <w:szCs w:val="22"/>
          <w:lang w:val="fr-BE"/>
        </w:rPr>
      </w:pPr>
    </w:p>
    <w:p w:rsidR="00330679" w:rsidRPr="003C2DB6" w:rsidRDefault="00330679" w:rsidP="00330679">
      <w:pPr>
        <w:tabs>
          <w:tab w:val="left" w:pos="600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>Le recours à la procédure négociée était justifié par les circonstances suivantes: &lt;</w:t>
      </w:r>
      <w:r>
        <w:rPr>
          <w:sz w:val="22"/>
          <w:szCs w:val="22"/>
          <w:highlight w:val="yellow"/>
        </w:rPr>
        <w:t>indiquez</w:t>
      </w:r>
      <w:r>
        <w:rPr>
          <w:sz w:val="22"/>
          <w:szCs w:val="22"/>
          <w:highlight w:val="lightGray"/>
        </w:rPr>
        <w:t>&gt;.</w:t>
      </w:r>
      <w:r>
        <w:rPr>
          <w:sz w:val="22"/>
          <w:szCs w:val="22"/>
        </w:rPr>
        <w:t xml:space="preserve">] </w:t>
      </w:r>
    </w:p>
    <w:p w:rsidR="00330679" w:rsidRPr="002D461D" w:rsidRDefault="00036289" w:rsidP="00330679">
      <w:pPr>
        <w:tabs>
          <w:tab w:val="left" w:pos="600"/>
        </w:tabs>
        <w:jc w:val="both"/>
        <w:rPr>
          <w:sz w:val="22"/>
          <w:szCs w:val="22"/>
          <w:lang w:val="fr-BE"/>
        </w:rPr>
      </w:pPr>
      <w:r>
        <w:tab/>
      </w:r>
    </w:p>
    <w:p w:rsidR="00330679" w:rsidRPr="003C2DB6" w:rsidRDefault="00330679" w:rsidP="00330679">
      <w:pPr>
        <w:tabs>
          <w:tab w:val="left" w:pos="600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[</w:t>
      </w:r>
      <w:r>
        <w:rPr>
          <w:sz w:val="22"/>
          <w:szCs w:val="22"/>
          <w:highlight w:val="lightGray"/>
        </w:rPr>
        <w:t>a décidé de ne pas attribuer le marché, pour le(s) motif(s) suivant(s):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lightGray"/>
        </w:rPr>
        <w:t>&lt;</w:t>
      </w:r>
      <w:r>
        <w:rPr>
          <w:sz w:val="22"/>
          <w:szCs w:val="22"/>
          <w:highlight w:val="yellow"/>
        </w:rPr>
        <w:t>expliquez</w:t>
      </w:r>
      <w:r>
        <w:rPr>
          <w:sz w:val="22"/>
          <w:szCs w:val="22"/>
          <w:highlight w:val="lightGray"/>
        </w:rPr>
        <w:t>&gt;.</w:t>
      </w:r>
      <w:r>
        <w:rPr>
          <w:sz w:val="22"/>
          <w:szCs w:val="22"/>
        </w:rPr>
        <w:t>]</w:t>
      </w:r>
    </w:p>
    <w:p w:rsidR="00330679" w:rsidRPr="003C2DB6" w:rsidRDefault="00330679" w:rsidP="00330679">
      <w:pPr>
        <w:ind w:hanging="34"/>
        <w:jc w:val="both"/>
        <w:rPr>
          <w:sz w:val="22"/>
          <w:szCs w:val="22"/>
        </w:rPr>
      </w:pPr>
      <w:r>
        <w:tab/>
      </w:r>
    </w:p>
    <w:p w:rsidR="00330679" w:rsidRDefault="00330679" w:rsidP="00330679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 et signature:</w:t>
      </w:r>
      <w:r>
        <w:tab/>
      </w:r>
      <w:bookmarkStart w:id="0" w:name="_GoBack"/>
      <w:bookmarkEnd w:id="0"/>
    </w:p>
    <w:p w:rsidR="00330679" w:rsidRDefault="00330679" w:rsidP="00330679">
      <w:pPr>
        <w:ind w:firstLine="720"/>
        <w:jc w:val="both"/>
        <w:rPr>
          <w:b/>
          <w:bCs/>
          <w:sz w:val="22"/>
          <w:szCs w:val="22"/>
        </w:rPr>
      </w:pPr>
    </w:p>
    <w:p w:rsidR="00330679" w:rsidRDefault="00330679" w:rsidP="00330679">
      <w:pPr>
        <w:ind w:firstLine="720"/>
        <w:jc w:val="both"/>
        <w:rPr>
          <w:b/>
          <w:bCs/>
          <w:sz w:val="22"/>
          <w:szCs w:val="22"/>
        </w:rPr>
      </w:pPr>
    </w:p>
    <w:p w:rsidR="00330679" w:rsidRDefault="00330679" w:rsidP="00330679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</w:p>
    <w:p w:rsidR="002D461D" w:rsidRDefault="002D461D" w:rsidP="00330679">
      <w:pPr>
        <w:ind w:firstLine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6626"/>
      </w:tblGrid>
      <w:tr w:rsidR="00330679" w:rsidRPr="00C557BF" w:rsidTr="0078557D">
        <w:trPr>
          <w:cantSplit/>
          <w:trHeight w:val="660"/>
        </w:trPr>
        <w:tc>
          <w:tcPr>
            <w:tcW w:w="8611" w:type="dxa"/>
            <w:gridSpan w:val="2"/>
          </w:tcPr>
          <w:p w:rsidR="00330679" w:rsidRPr="00E63C2B" w:rsidRDefault="00330679" w:rsidP="0078557D">
            <w:pPr>
              <w:pStyle w:val="BodyText"/>
              <w:keepNext/>
              <w:keepLines/>
              <w:spacing w:before="0" w:after="24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Approuvé par la Commission européenne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uniquement en cas de contrôle ex ante effectué par la Commission européenne</w:t>
            </w:r>
          </w:p>
        </w:tc>
      </w:tr>
      <w:tr w:rsidR="00330679" w:rsidRPr="007A16DC" w:rsidTr="0078557D">
        <w:trPr>
          <w:gridAfter w:val="1"/>
          <w:wAfter w:w="6626" w:type="dxa"/>
          <w:cantSplit/>
          <w:trHeight w:val="574"/>
        </w:trPr>
        <w:tc>
          <w:tcPr>
            <w:tcW w:w="1985" w:type="dxa"/>
          </w:tcPr>
          <w:p w:rsidR="00330679" w:rsidRPr="007A16DC" w:rsidRDefault="00330679" w:rsidP="0078557D">
            <w:pPr>
              <w:pStyle w:val="BodyText"/>
              <w:keepNext/>
              <w:keepLines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Nom:</w:t>
            </w:r>
          </w:p>
        </w:tc>
      </w:tr>
      <w:tr w:rsidR="00330679" w:rsidRPr="007A16DC" w:rsidTr="0078557D">
        <w:trPr>
          <w:gridAfter w:val="1"/>
          <w:wAfter w:w="6626" w:type="dxa"/>
          <w:cantSplit/>
          <w:trHeight w:val="568"/>
        </w:trPr>
        <w:tc>
          <w:tcPr>
            <w:tcW w:w="1985" w:type="dxa"/>
          </w:tcPr>
          <w:p w:rsidR="00330679" w:rsidRPr="007A16DC" w:rsidRDefault="00330679" w:rsidP="0078557D">
            <w:pPr>
              <w:pStyle w:val="BodyText"/>
              <w:keepNext/>
              <w:keepLines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Fonction:</w:t>
            </w:r>
          </w:p>
        </w:tc>
      </w:tr>
      <w:tr w:rsidR="00330679" w:rsidRPr="007A16DC" w:rsidTr="0078557D">
        <w:trPr>
          <w:gridAfter w:val="1"/>
          <w:wAfter w:w="6626" w:type="dxa"/>
          <w:cantSplit/>
          <w:trHeight w:val="890"/>
        </w:trPr>
        <w:tc>
          <w:tcPr>
            <w:tcW w:w="1985" w:type="dxa"/>
          </w:tcPr>
          <w:p w:rsidR="00330679" w:rsidRPr="007A16DC" w:rsidRDefault="00330679" w:rsidP="0078557D">
            <w:pPr>
              <w:pStyle w:val="BodyText"/>
              <w:keepNext/>
              <w:keepLines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</w:tr>
    </w:tbl>
    <w:p w:rsidR="00330679" w:rsidRPr="00036289" w:rsidRDefault="00036289" w:rsidP="00036289">
      <w:pPr>
        <w:tabs>
          <w:tab w:val="right" w:pos="6663"/>
        </w:tabs>
        <w:autoSpaceDE w:val="0"/>
        <w:autoSpaceDN w:val="0"/>
        <w:adjustRightInd w:val="0"/>
        <w:ind w:left="567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]</w:t>
      </w:r>
    </w:p>
    <w:sectPr w:rsidR="00330679" w:rsidRPr="00036289" w:rsidSect="0009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92" w:rsidRDefault="005C5092">
      <w:r>
        <w:separator/>
      </w:r>
    </w:p>
  </w:endnote>
  <w:endnote w:type="continuationSeparator" w:id="0">
    <w:p w:rsidR="005C5092" w:rsidRDefault="005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0" w:rsidRDefault="00F56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F" w:rsidRPr="00A115B7" w:rsidRDefault="009E3FD0" w:rsidP="007831F5">
    <w:pPr>
      <w:pStyle w:val="Footer"/>
      <w:tabs>
        <w:tab w:val="clear" w:pos="4320"/>
        <w:tab w:val="clear" w:pos="8640"/>
        <w:tab w:val="right" w:pos="9356"/>
      </w:tabs>
      <w:spacing w:before="120"/>
      <w:ind w:right="6"/>
      <w:rPr>
        <w:rStyle w:val="PageNumber"/>
        <w:sz w:val="18"/>
        <w:szCs w:val="18"/>
      </w:rPr>
    </w:pPr>
    <w:r>
      <w:rPr>
        <w:b/>
        <w:snapToGrid w:val="0"/>
        <w:sz w:val="18"/>
        <w:szCs w:val="18"/>
      </w:rPr>
      <w:t>Déc</w:t>
    </w:r>
    <w:r w:rsidR="00FA72B0">
      <w:rPr>
        <w:b/>
        <w:snapToGrid w:val="0"/>
        <w:sz w:val="18"/>
        <w:szCs w:val="18"/>
      </w:rPr>
      <w:t>embre 2021</w:t>
    </w:r>
    <w:r w:rsidR="00FA72B0">
      <w:tab/>
    </w:r>
    <w:r w:rsidR="00FA72B0">
      <w:rPr>
        <w:snapToGrid w:val="0"/>
        <w:sz w:val="18"/>
        <w:szCs w:val="18"/>
      </w:rPr>
      <w:t xml:space="preserve">Page </w:t>
    </w:r>
    <w:r w:rsidR="00FA72B0">
      <w:rPr>
        <w:snapToGrid w:val="0"/>
        <w:sz w:val="18"/>
        <w:szCs w:val="18"/>
      </w:rPr>
      <w:fldChar w:fldCharType="begin"/>
    </w:r>
    <w:r w:rsidR="00FA72B0">
      <w:rPr>
        <w:snapToGrid w:val="0"/>
        <w:sz w:val="18"/>
        <w:szCs w:val="18"/>
      </w:rPr>
      <w:instrText xml:space="preserve"> PAGE </w:instrText>
    </w:r>
    <w:r w:rsidR="00FA72B0">
      <w:rPr>
        <w:snapToGrid w:val="0"/>
        <w:sz w:val="18"/>
        <w:szCs w:val="18"/>
      </w:rPr>
      <w:fldChar w:fldCharType="separate"/>
    </w:r>
    <w:r w:rsidR="00036289">
      <w:rPr>
        <w:noProof/>
        <w:snapToGrid w:val="0"/>
        <w:sz w:val="18"/>
        <w:szCs w:val="18"/>
      </w:rPr>
      <w:t>2</w:t>
    </w:r>
    <w:r w:rsidR="00FA72B0">
      <w:rPr>
        <w:snapToGrid w:val="0"/>
        <w:sz w:val="18"/>
        <w:szCs w:val="18"/>
      </w:rPr>
      <w:fldChar w:fldCharType="end"/>
    </w:r>
    <w:r w:rsidR="00FA72B0">
      <w:rPr>
        <w:snapToGrid w:val="0"/>
        <w:sz w:val="18"/>
        <w:szCs w:val="18"/>
      </w:rPr>
      <w:t xml:space="preserve"> sur </w:t>
    </w:r>
    <w:r w:rsidR="00FA72B0">
      <w:rPr>
        <w:rStyle w:val="PageNumber"/>
        <w:sz w:val="18"/>
        <w:szCs w:val="18"/>
      </w:rPr>
      <w:fldChar w:fldCharType="begin"/>
    </w:r>
    <w:r w:rsidR="00FA72B0">
      <w:rPr>
        <w:rStyle w:val="PageNumber"/>
        <w:sz w:val="18"/>
        <w:szCs w:val="18"/>
      </w:rPr>
      <w:instrText xml:space="preserve"> NUMPAGES </w:instrText>
    </w:r>
    <w:r w:rsidR="00FA72B0">
      <w:rPr>
        <w:rStyle w:val="PageNumber"/>
        <w:sz w:val="18"/>
        <w:szCs w:val="18"/>
      </w:rPr>
      <w:fldChar w:fldCharType="separate"/>
    </w:r>
    <w:r w:rsidR="00036289">
      <w:rPr>
        <w:rStyle w:val="PageNumber"/>
        <w:noProof/>
        <w:sz w:val="18"/>
        <w:szCs w:val="18"/>
      </w:rPr>
      <w:t>2</w:t>
    </w:r>
    <w:r w:rsidR="00FA72B0">
      <w:rPr>
        <w:rStyle w:val="PageNumber"/>
        <w:sz w:val="18"/>
        <w:szCs w:val="18"/>
      </w:rPr>
      <w:fldChar w:fldCharType="end"/>
    </w:r>
  </w:p>
  <w:p w:rsidR="008F67AF" w:rsidRPr="005F074F" w:rsidRDefault="008F67AF" w:rsidP="005F074F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9E3FD0">
      <w:rPr>
        <w:noProof/>
        <w:sz w:val="18"/>
        <w:szCs w:val="18"/>
      </w:rPr>
      <w:t>a10a_negotiationreport_fr.docx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F" w:rsidRPr="00B713D2" w:rsidRDefault="00FA72B0" w:rsidP="000066AA">
    <w:pPr>
      <w:pStyle w:val="Footer"/>
      <w:tabs>
        <w:tab w:val="clear" w:pos="4320"/>
        <w:tab w:val="clear" w:pos="8640"/>
        <w:tab w:val="right" w:pos="9356"/>
      </w:tabs>
      <w:ind w:right="5"/>
      <w:rPr>
        <w:rStyle w:val="PageNumber"/>
        <w:sz w:val="18"/>
        <w:szCs w:val="18"/>
      </w:rPr>
    </w:pPr>
    <w:r>
      <w:rPr>
        <w:b/>
        <w:snapToGrid w:val="0"/>
        <w:sz w:val="18"/>
        <w:szCs w:val="18"/>
      </w:rPr>
      <w:t>2021</w:t>
    </w:r>
    <w:r w:rsidR="00EF1777">
      <w:rPr>
        <w:b/>
        <w:snapToGrid w:val="0"/>
        <w:sz w:val="18"/>
        <w:szCs w:val="18"/>
      </w:rPr>
      <w:t>.1</w:t>
    </w:r>
    <w:r>
      <w:tab/>
    </w:r>
    <w:r>
      <w:rPr>
        <w:snapToGrid w:val="0"/>
        <w:sz w:val="18"/>
        <w:szCs w:val="18"/>
      </w:rPr>
      <w:t xml:space="preserve">Page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PAGE </w:instrText>
    </w:r>
    <w:r>
      <w:rPr>
        <w:snapToGrid w:val="0"/>
        <w:sz w:val="18"/>
        <w:szCs w:val="18"/>
      </w:rPr>
      <w:fldChar w:fldCharType="separate"/>
    </w:r>
    <w:r w:rsidR="00EF1777">
      <w:rPr>
        <w:noProof/>
        <w:snapToGrid w:val="0"/>
        <w:sz w:val="18"/>
        <w:szCs w:val="18"/>
      </w:rPr>
      <w:t>1</w:t>
    </w:r>
    <w:r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 xml:space="preserve"> sur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EF1777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8F67AF" w:rsidRPr="005F074F" w:rsidRDefault="008F67AF" w:rsidP="000066AA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9E3FD0">
      <w:rPr>
        <w:noProof/>
        <w:sz w:val="18"/>
        <w:szCs w:val="18"/>
      </w:rPr>
      <w:t>a10a</w:t>
    </w:r>
    <w:r w:rsidR="00F56460">
      <w:rPr>
        <w:noProof/>
        <w:sz w:val="18"/>
        <w:szCs w:val="18"/>
      </w:rPr>
      <w:t>1</w:t>
    </w:r>
    <w:r w:rsidR="009E3FD0">
      <w:rPr>
        <w:noProof/>
        <w:sz w:val="18"/>
        <w:szCs w:val="18"/>
      </w:rPr>
      <w:t>_negotiationreport_fr.docx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92" w:rsidRDefault="005C5092">
      <w:r>
        <w:separator/>
      </w:r>
    </w:p>
  </w:footnote>
  <w:footnote w:type="continuationSeparator" w:id="0">
    <w:p w:rsidR="005C5092" w:rsidRDefault="005C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0" w:rsidRDefault="00F56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F" w:rsidRPr="0046768C" w:rsidRDefault="008F67AF" w:rsidP="00786D2B">
    <w:pPr>
      <w:pStyle w:val="Header"/>
      <w:tabs>
        <w:tab w:val="clear" w:pos="8640"/>
        <w:tab w:val="right" w:pos="9498"/>
      </w:tabs>
      <w:rPr>
        <w:b/>
        <w:sz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F" w:rsidRPr="002D461D" w:rsidRDefault="008F67AF" w:rsidP="00786D2B">
    <w:pPr>
      <w:pStyle w:val="Header"/>
      <w:tabs>
        <w:tab w:val="clear" w:pos="4320"/>
        <w:tab w:val="clear" w:pos="8640"/>
        <w:tab w:val="right" w:pos="9356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41972"/>
    <w:multiLevelType w:val="multilevel"/>
    <w:tmpl w:val="44606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801F97"/>
    <w:multiLevelType w:val="hybridMultilevel"/>
    <w:tmpl w:val="3B2C542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6" w15:restartNumberingAfterBreak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09192C"/>
    <w:multiLevelType w:val="hybridMultilevel"/>
    <w:tmpl w:val="6128B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5D3A"/>
    <w:multiLevelType w:val="hybridMultilevel"/>
    <w:tmpl w:val="94CA6D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6C2329"/>
    <w:multiLevelType w:val="hybridMultilevel"/>
    <w:tmpl w:val="1B200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D594A"/>
    <w:multiLevelType w:val="multilevel"/>
    <w:tmpl w:val="493CFCE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BC1C50"/>
    <w:multiLevelType w:val="multilevel"/>
    <w:tmpl w:val="5C1C1B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905936"/>
    <w:multiLevelType w:val="hybridMultilevel"/>
    <w:tmpl w:val="8E62EA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9" w15:restartNumberingAfterBreak="0">
    <w:nsid w:val="58AB4FA4"/>
    <w:multiLevelType w:val="hybridMultilevel"/>
    <w:tmpl w:val="08B20D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6A713B"/>
    <w:multiLevelType w:val="hybridMultilevel"/>
    <w:tmpl w:val="8990C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2"/>
  </w:num>
  <w:num w:numId="5">
    <w:abstractNumId w:val="20"/>
  </w:num>
  <w:num w:numId="6">
    <w:abstractNumId w:val="8"/>
  </w:num>
  <w:num w:numId="7">
    <w:abstractNumId w:val="3"/>
  </w:num>
  <w:num w:numId="8">
    <w:abstractNumId w:val="24"/>
  </w:num>
  <w:num w:numId="9">
    <w:abstractNumId w:val="7"/>
  </w:num>
  <w:num w:numId="10">
    <w:abstractNumId w:val="4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18"/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10"/>
  </w:num>
  <w:num w:numId="28">
    <w:abstractNumId w:val="19"/>
  </w:num>
  <w:num w:numId="29">
    <w:abstractNumId w:val="6"/>
  </w:num>
  <w:num w:numId="30">
    <w:abstractNumId w:val="17"/>
  </w:num>
  <w:num w:numId="31">
    <w:abstractNumId w:val="12"/>
  </w:num>
  <w:num w:numId="32">
    <w:abstractNumId w:val="21"/>
  </w:num>
  <w:num w:numId="33">
    <w:abstractNumId w:val="13"/>
  </w:num>
  <w:num w:numId="34">
    <w:abstractNumId w:val="9"/>
  </w:num>
  <w:num w:numId="35">
    <w:abstractNumId w:val="1"/>
  </w:num>
  <w:num w:numId="36">
    <w:abstractNumId w:val="1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51ACC"/>
    <w:rsid w:val="000023A1"/>
    <w:rsid w:val="000066AA"/>
    <w:rsid w:val="0001037C"/>
    <w:rsid w:val="00013896"/>
    <w:rsid w:val="00016387"/>
    <w:rsid w:val="00022B9B"/>
    <w:rsid w:val="000231A7"/>
    <w:rsid w:val="00025B7C"/>
    <w:rsid w:val="00036289"/>
    <w:rsid w:val="00044DA2"/>
    <w:rsid w:val="00061406"/>
    <w:rsid w:val="00067CA3"/>
    <w:rsid w:val="00075A4B"/>
    <w:rsid w:val="000773A6"/>
    <w:rsid w:val="00094116"/>
    <w:rsid w:val="000943DD"/>
    <w:rsid w:val="00096115"/>
    <w:rsid w:val="000A3F28"/>
    <w:rsid w:val="000B057E"/>
    <w:rsid w:val="000B5830"/>
    <w:rsid w:val="00102D08"/>
    <w:rsid w:val="001031CE"/>
    <w:rsid w:val="00113A26"/>
    <w:rsid w:val="00116EB0"/>
    <w:rsid w:val="00122AC7"/>
    <w:rsid w:val="00132377"/>
    <w:rsid w:val="00132716"/>
    <w:rsid w:val="00137030"/>
    <w:rsid w:val="00140E3D"/>
    <w:rsid w:val="00142952"/>
    <w:rsid w:val="001631BE"/>
    <w:rsid w:val="001655A3"/>
    <w:rsid w:val="00181A8D"/>
    <w:rsid w:val="0018707C"/>
    <w:rsid w:val="001936CC"/>
    <w:rsid w:val="001944A7"/>
    <w:rsid w:val="001C19FA"/>
    <w:rsid w:val="001D09B9"/>
    <w:rsid w:val="001E21EA"/>
    <w:rsid w:val="001F6E9F"/>
    <w:rsid w:val="002024E5"/>
    <w:rsid w:val="002065BA"/>
    <w:rsid w:val="002118E2"/>
    <w:rsid w:val="00212645"/>
    <w:rsid w:val="002318A6"/>
    <w:rsid w:val="00237FB9"/>
    <w:rsid w:val="0024589F"/>
    <w:rsid w:val="0025102D"/>
    <w:rsid w:val="002556E0"/>
    <w:rsid w:val="0026004B"/>
    <w:rsid w:val="00264F76"/>
    <w:rsid w:val="00277AA6"/>
    <w:rsid w:val="00284B75"/>
    <w:rsid w:val="002C1A17"/>
    <w:rsid w:val="002C4011"/>
    <w:rsid w:val="002D461D"/>
    <w:rsid w:val="002E0B83"/>
    <w:rsid w:val="003021B7"/>
    <w:rsid w:val="00306E9E"/>
    <w:rsid w:val="00311457"/>
    <w:rsid w:val="00330679"/>
    <w:rsid w:val="00335C79"/>
    <w:rsid w:val="00335F11"/>
    <w:rsid w:val="00351ACC"/>
    <w:rsid w:val="00353DBF"/>
    <w:rsid w:val="00354482"/>
    <w:rsid w:val="003560B1"/>
    <w:rsid w:val="00357937"/>
    <w:rsid w:val="00394A91"/>
    <w:rsid w:val="003968A6"/>
    <w:rsid w:val="003B4E13"/>
    <w:rsid w:val="003B507C"/>
    <w:rsid w:val="003C2DB6"/>
    <w:rsid w:val="003F42A6"/>
    <w:rsid w:val="003F74BD"/>
    <w:rsid w:val="00424034"/>
    <w:rsid w:val="00426BF6"/>
    <w:rsid w:val="00450F57"/>
    <w:rsid w:val="00454DC2"/>
    <w:rsid w:val="0046767B"/>
    <w:rsid w:val="0046768C"/>
    <w:rsid w:val="00481B04"/>
    <w:rsid w:val="00496F30"/>
    <w:rsid w:val="004A44FB"/>
    <w:rsid w:val="004C1337"/>
    <w:rsid w:val="004C22C1"/>
    <w:rsid w:val="004C56B2"/>
    <w:rsid w:val="004C6934"/>
    <w:rsid w:val="004E3493"/>
    <w:rsid w:val="004E4DD1"/>
    <w:rsid w:val="00501B9F"/>
    <w:rsid w:val="00506347"/>
    <w:rsid w:val="0051567E"/>
    <w:rsid w:val="00522D19"/>
    <w:rsid w:val="00551F6F"/>
    <w:rsid w:val="005525D0"/>
    <w:rsid w:val="00584246"/>
    <w:rsid w:val="005926AD"/>
    <w:rsid w:val="00594719"/>
    <w:rsid w:val="00594C27"/>
    <w:rsid w:val="005B6C1F"/>
    <w:rsid w:val="005C5092"/>
    <w:rsid w:val="005D0782"/>
    <w:rsid w:val="005D63B5"/>
    <w:rsid w:val="005D6D64"/>
    <w:rsid w:val="005E3752"/>
    <w:rsid w:val="005E445D"/>
    <w:rsid w:val="005F074F"/>
    <w:rsid w:val="005F1DC4"/>
    <w:rsid w:val="006015A0"/>
    <w:rsid w:val="00652263"/>
    <w:rsid w:val="0067556A"/>
    <w:rsid w:val="0069791E"/>
    <w:rsid w:val="006A0093"/>
    <w:rsid w:val="006B0626"/>
    <w:rsid w:val="006B065A"/>
    <w:rsid w:val="006B2E93"/>
    <w:rsid w:val="006D6FBB"/>
    <w:rsid w:val="0070398A"/>
    <w:rsid w:val="0070586E"/>
    <w:rsid w:val="007138E3"/>
    <w:rsid w:val="007221FA"/>
    <w:rsid w:val="0072287C"/>
    <w:rsid w:val="007362CF"/>
    <w:rsid w:val="00736D48"/>
    <w:rsid w:val="00752D03"/>
    <w:rsid w:val="007831F5"/>
    <w:rsid w:val="0078557D"/>
    <w:rsid w:val="00786293"/>
    <w:rsid w:val="00786D2B"/>
    <w:rsid w:val="007A3D6A"/>
    <w:rsid w:val="007B1A70"/>
    <w:rsid w:val="007C0759"/>
    <w:rsid w:val="007D38F8"/>
    <w:rsid w:val="007F0B66"/>
    <w:rsid w:val="00802465"/>
    <w:rsid w:val="00807AAA"/>
    <w:rsid w:val="008159E0"/>
    <w:rsid w:val="00825120"/>
    <w:rsid w:val="00831B29"/>
    <w:rsid w:val="008554D0"/>
    <w:rsid w:val="00855615"/>
    <w:rsid w:val="00872F4C"/>
    <w:rsid w:val="0087362B"/>
    <w:rsid w:val="00882289"/>
    <w:rsid w:val="00896756"/>
    <w:rsid w:val="008A27FF"/>
    <w:rsid w:val="008A3CB0"/>
    <w:rsid w:val="008C190F"/>
    <w:rsid w:val="008C2C16"/>
    <w:rsid w:val="008E05E9"/>
    <w:rsid w:val="008E44DB"/>
    <w:rsid w:val="008F67AF"/>
    <w:rsid w:val="00906D5A"/>
    <w:rsid w:val="00907660"/>
    <w:rsid w:val="00907823"/>
    <w:rsid w:val="00913D8C"/>
    <w:rsid w:val="00925B31"/>
    <w:rsid w:val="00930514"/>
    <w:rsid w:val="009375EB"/>
    <w:rsid w:val="00943B68"/>
    <w:rsid w:val="009461F4"/>
    <w:rsid w:val="00957BAB"/>
    <w:rsid w:val="00961A56"/>
    <w:rsid w:val="009644C4"/>
    <w:rsid w:val="0096782D"/>
    <w:rsid w:val="00975E6B"/>
    <w:rsid w:val="00982B73"/>
    <w:rsid w:val="009A0F6A"/>
    <w:rsid w:val="009B67FD"/>
    <w:rsid w:val="009C1B47"/>
    <w:rsid w:val="009E0F1A"/>
    <w:rsid w:val="009E3FD0"/>
    <w:rsid w:val="009E6A23"/>
    <w:rsid w:val="009F3AD8"/>
    <w:rsid w:val="00A115B7"/>
    <w:rsid w:val="00A11701"/>
    <w:rsid w:val="00A11A9E"/>
    <w:rsid w:val="00A238F3"/>
    <w:rsid w:val="00A27526"/>
    <w:rsid w:val="00A471E4"/>
    <w:rsid w:val="00A501CB"/>
    <w:rsid w:val="00A557E1"/>
    <w:rsid w:val="00A57868"/>
    <w:rsid w:val="00A908DF"/>
    <w:rsid w:val="00A94D1B"/>
    <w:rsid w:val="00AC4EC1"/>
    <w:rsid w:val="00AC7D20"/>
    <w:rsid w:val="00AD2179"/>
    <w:rsid w:val="00AD6ED6"/>
    <w:rsid w:val="00AE56DC"/>
    <w:rsid w:val="00AF328D"/>
    <w:rsid w:val="00AF5311"/>
    <w:rsid w:val="00B07A98"/>
    <w:rsid w:val="00B350DB"/>
    <w:rsid w:val="00B446DF"/>
    <w:rsid w:val="00B54330"/>
    <w:rsid w:val="00B713D2"/>
    <w:rsid w:val="00B7156C"/>
    <w:rsid w:val="00B72E2E"/>
    <w:rsid w:val="00B73E49"/>
    <w:rsid w:val="00B9616C"/>
    <w:rsid w:val="00BB72FE"/>
    <w:rsid w:val="00BD4307"/>
    <w:rsid w:val="00BD5FAA"/>
    <w:rsid w:val="00BE15A6"/>
    <w:rsid w:val="00BE7E7E"/>
    <w:rsid w:val="00C2375D"/>
    <w:rsid w:val="00C239ED"/>
    <w:rsid w:val="00C46B59"/>
    <w:rsid w:val="00C557BF"/>
    <w:rsid w:val="00C61651"/>
    <w:rsid w:val="00C6549F"/>
    <w:rsid w:val="00C740F0"/>
    <w:rsid w:val="00C83243"/>
    <w:rsid w:val="00C85391"/>
    <w:rsid w:val="00C923BF"/>
    <w:rsid w:val="00C95DD1"/>
    <w:rsid w:val="00CA53F3"/>
    <w:rsid w:val="00CD4769"/>
    <w:rsid w:val="00CD7245"/>
    <w:rsid w:val="00CD7365"/>
    <w:rsid w:val="00CE20EF"/>
    <w:rsid w:val="00CE552F"/>
    <w:rsid w:val="00CF03DC"/>
    <w:rsid w:val="00D24265"/>
    <w:rsid w:val="00D32B93"/>
    <w:rsid w:val="00D32C25"/>
    <w:rsid w:val="00D36DCE"/>
    <w:rsid w:val="00D56243"/>
    <w:rsid w:val="00D81098"/>
    <w:rsid w:val="00D84F35"/>
    <w:rsid w:val="00DA5372"/>
    <w:rsid w:val="00DB0D98"/>
    <w:rsid w:val="00DB37E3"/>
    <w:rsid w:val="00DB5E60"/>
    <w:rsid w:val="00DD4041"/>
    <w:rsid w:val="00DF1D42"/>
    <w:rsid w:val="00E06E3A"/>
    <w:rsid w:val="00E15957"/>
    <w:rsid w:val="00E17FCC"/>
    <w:rsid w:val="00E32C9F"/>
    <w:rsid w:val="00E46CE2"/>
    <w:rsid w:val="00E7102C"/>
    <w:rsid w:val="00E839C7"/>
    <w:rsid w:val="00E90C0B"/>
    <w:rsid w:val="00EA2399"/>
    <w:rsid w:val="00EB13A1"/>
    <w:rsid w:val="00EB4BC7"/>
    <w:rsid w:val="00ED3E1C"/>
    <w:rsid w:val="00ED58C7"/>
    <w:rsid w:val="00EF1777"/>
    <w:rsid w:val="00EF4013"/>
    <w:rsid w:val="00EF74C0"/>
    <w:rsid w:val="00F019FF"/>
    <w:rsid w:val="00F0712E"/>
    <w:rsid w:val="00F1789C"/>
    <w:rsid w:val="00F56460"/>
    <w:rsid w:val="00F71056"/>
    <w:rsid w:val="00F768C0"/>
    <w:rsid w:val="00F94797"/>
    <w:rsid w:val="00FA09E4"/>
    <w:rsid w:val="00FA72B0"/>
    <w:rsid w:val="00FB7D97"/>
    <w:rsid w:val="00FD13C2"/>
    <w:rsid w:val="00FD37F6"/>
    <w:rsid w:val="00FF19E7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61292"/>
  <w15:chartTrackingRefBased/>
  <w15:docId w15:val="{6DFB8574-3D11-4184-B111-1215959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EA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1567E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qFormat/>
    <w:rsid w:val="0051567E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1567E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1567E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67E"/>
    <w:pPr>
      <w:numPr>
        <w:ilvl w:val="6"/>
        <w:numId w:val="2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1567E"/>
    <w:pPr>
      <w:numPr>
        <w:ilvl w:val="7"/>
        <w:numId w:val="2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1567E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autoRedefine/>
    <w:semiHidden/>
    <w:rsid w:val="001E21EA"/>
    <w:pPr>
      <w:spacing w:after="60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sz w:val="32"/>
    </w:rPr>
  </w:style>
  <w:style w:type="paragraph" w:customStyle="1" w:styleId="Char2">
    <w:name w:val="Char2"/>
    <w:basedOn w:val="Normal"/>
    <w:rsid w:val="00E839C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Char20">
    <w:name w:val="Char2"/>
    <w:basedOn w:val="Normal"/>
    <w:rsid w:val="00212645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Style11pt">
    <w:name w:val="Style 11 pt"/>
    <w:rsid w:val="00212645"/>
    <w:rPr>
      <w:sz w:val="22"/>
    </w:rPr>
  </w:style>
  <w:style w:type="paragraph" w:styleId="BodyText">
    <w:name w:val="Body Text"/>
    <w:basedOn w:val="Normal"/>
    <w:rsid w:val="00FF2BB3"/>
    <w:pPr>
      <w:spacing w:before="120" w:after="120"/>
    </w:pPr>
    <w:rPr>
      <w:rFonts w:ascii="Arial" w:hAnsi="Arial"/>
      <w:snapToGrid w:val="0"/>
      <w:sz w:val="20"/>
      <w:lang w:eastAsia="en-US"/>
    </w:rPr>
  </w:style>
  <w:style w:type="paragraph" w:styleId="BalloonText">
    <w:name w:val="Balloon Text"/>
    <w:basedOn w:val="Normal"/>
    <w:semiHidden/>
    <w:rsid w:val="000066AA"/>
    <w:rPr>
      <w:rFonts w:ascii="Tahoma" w:hAnsi="Tahoma" w:cs="Tahoma"/>
      <w:sz w:val="16"/>
      <w:szCs w:val="16"/>
    </w:rPr>
  </w:style>
  <w:style w:type="paragraph" w:customStyle="1" w:styleId="StyleHeading1TimesNewRoman">
    <w:name w:val="Style Heading 1 + Times New Roman"/>
    <w:basedOn w:val="Heading1"/>
    <w:rsid w:val="00906D5A"/>
    <w:pPr>
      <w:spacing w:after="120"/>
      <w:ind w:left="431" w:hanging="431"/>
    </w:pPr>
    <w:rPr>
      <w:rFonts w:ascii="Times New Roman" w:hAnsi="Times New Roman"/>
      <w:bCs/>
    </w:rPr>
  </w:style>
  <w:style w:type="character" w:styleId="CommentReference">
    <w:name w:val="annotation reference"/>
    <w:rsid w:val="00FD1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3C2"/>
    <w:rPr>
      <w:sz w:val="20"/>
    </w:rPr>
  </w:style>
  <w:style w:type="character" w:customStyle="1" w:styleId="CommentTextChar">
    <w:name w:val="Comment Text Char"/>
    <w:link w:val="CommentText"/>
    <w:rsid w:val="00FD13C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D13C2"/>
    <w:rPr>
      <w:b/>
      <w:bCs/>
    </w:rPr>
  </w:style>
  <w:style w:type="character" w:customStyle="1" w:styleId="CommentSubjectChar">
    <w:name w:val="Comment Subject Char"/>
    <w:link w:val="CommentSubject"/>
    <w:rsid w:val="00FD13C2"/>
    <w:rPr>
      <w:b/>
      <w:bCs/>
      <w:lang w:val="fr-FR"/>
    </w:rPr>
  </w:style>
  <w:style w:type="character" w:customStyle="1" w:styleId="HeaderChar">
    <w:name w:val="Header Char"/>
    <w:link w:val="Header"/>
    <w:rsid w:val="00496F30"/>
    <w:rPr>
      <w:sz w:val="24"/>
      <w:lang w:val="fr-FR"/>
    </w:rPr>
  </w:style>
  <w:style w:type="paragraph" w:styleId="ListParagraph">
    <w:name w:val="List Paragraph"/>
    <w:basedOn w:val="Normal"/>
    <w:uiPriority w:val="34"/>
    <w:qFormat/>
    <w:rsid w:val="00C2375D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DD767-2784-4D36-908F-717FAC8CA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78C0A-F0C3-4DCB-AD88-1B73489D5B54}"/>
</file>

<file path=customXml/itemProps3.xml><?xml version="1.0" encoding="utf-8"?>
<ds:datastoreItem xmlns:ds="http://schemas.openxmlformats.org/officeDocument/2006/customXml" ds:itemID="{45EF298D-F40F-4FB0-96C6-D50723B320DE}"/>
</file>

<file path=customXml/itemProps4.xml><?xml version="1.0" encoding="utf-8"?>
<ds:datastoreItem xmlns:ds="http://schemas.openxmlformats.org/officeDocument/2006/customXml" ds:itemID="{4D847FDF-9FB8-401A-A4B7-FAEBAD3C9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>European Commission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subject/>
  <dc:creator>kaiser helmut</dc:creator>
  <cp:keywords/>
  <cp:lastModifiedBy>OTERO VEGA Yolanda (DEVCO)</cp:lastModifiedBy>
  <cp:revision>7</cp:revision>
  <cp:lastPrinted>2014-01-17T10:00:00Z</cp:lastPrinted>
  <dcterms:created xsi:type="dcterms:W3CDTF">2021-11-19T10:55:00Z</dcterms:created>
  <dcterms:modified xsi:type="dcterms:W3CDTF">2022-05-19T12:16:00Z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428461360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lient">
    <vt:lpwstr>cajalja</vt:lpwstr>
  </property>
  <property fmtid="{D5CDD505-2E9C-101B-9397-08002B2CF9AE}" pid="8" name="ContentTypeId">
    <vt:lpwstr>0x010100724FDE23FB365D4CB8B2901107175F9F</vt:lpwstr>
  </property>
</Properties>
</file>