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45CC" w14:textId="468BE93A" w:rsidR="00C27E95" w:rsidRPr="00A50466" w:rsidRDefault="00C27E95" w:rsidP="00C27E95">
      <w:pPr>
        <w:pStyle w:val="ListBullet"/>
        <w:numPr>
          <w:ilvl w:val="0"/>
          <w:numId w:val="0"/>
        </w:numPr>
        <w:ind w:left="360"/>
        <w:rPr>
          <w:b/>
          <w:sz w:val="40"/>
        </w:rPr>
      </w:pPr>
      <w:r w:rsidRPr="00A50466">
        <w:rPr>
          <w:b/>
          <w:noProof/>
          <w:sz w:val="40"/>
          <w:lang w:eastAsia="en-GB"/>
        </w:rPr>
        <w:drawing>
          <wp:anchor distT="0" distB="0" distL="114935" distR="114935" simplePos="0" relativeHeight="251659264" behindDoc="0" locked="0" layoutInCell="1" allowOverlap="1" wp14:anchorId="5F5F32D6" wp14:editId="622E12F5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1028065" cy="1021080"/>
            <wp:effectExtent l="0" t="0" r="635" b="762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1CE">
        <w:rPr>
          <w:b/>
          <w:sz w:val="40"/>
        </w:rPr>
        <w:t xml:space="preserve"> </w:t>
      </w:r>
      <w:r w:rsidRPr="00A50466">
        <w:rPr>
          <w:b/>
          <w:sz w:val="40"/>
        </w:rPr>
        <w:t>INSPIRE</w:t>
      </w:r>
    </w:p>
    <w:p w14:paraId="75F34A25" w14:textId="77777777" w:rsidR="00C27E95" w:rsidRPr="00A50466" w:rsidRDefault="00C27E95" w:rsidP="00C27E95">
      <w:pPr>
        <w:jc w:val="both"/>
        <w:rPr>
          <w:b/>
          <w:sz w:val="28"/>
          <w:lang w:val="en-GB"/>
        </w:rPr>
      </w:pPr>
      <w:r w:rsidRPr="00A50466">
        <w:rPr>
          <w:b/>
          <w:sz w:val="28"/>
          <w:lang w:val="en-GB"/>
        </w:rPr>
        <w:t>Infrastructure for Spatial Information in Europe</w:t>
      </w:r>
    </w:p>
    <w:p w14:paraId="11705FA3" w14:textId="77777777" w:rsidR="00C27E95" w:rsidRPr="00A50466" w:rsidRDefault="00C27E95" w:rsidP="00C27E95">
      <w:pPr>
        <w:tabs>
          <w:tab w:val="left" w:pos="851"/>
        </w:tabs>
        <w:overflowPunct w:val="0"/>
        <w:autoSpaceDE w:val="0"/>
        <w:spacing w:line="240" w:lineRule="auto"/>
        <w:jc w:val="both"/>
        <w:rPr>
          <w:rFonts w:ascii="Arial" w:hAnsi="Arial" w:cs="Arial"/>
          <w:sz w:val="40"/>
          <w:szCs w:val="20"/>
          <w:lang w:val="en-GB" w:eastAsia="zh-CN"/>
        </w:rPr>
      </w:pPr>
    </w:p>
    <w:p w14:paraId="1F119CCD" w14:textId="5D56F862" w:rsidR="00C27E95" w:rsidRPr="00A50466" w:rsidRDefault="003A0313" w:rsidP="00C27E95">
      <w:pPr>
        <w:pStyle w:val="Title"/>
        <w:jc w:val="both"/>
        <w:rPr>
          <w:b/>
          <w:sz w:val="40"/>
          <w:lang w:val="en-GB"/>
        </w:rPr>
      </w:pPr>
      <w:r>
        <w:rPr>
          <w:b/>
          <w:sz w:val="40"/>
          <w:lang w:val="en-GB"/>
        </w:rPr>
        <w:t>Proposed action for MIWP 2016</w:t>
      </w:r>
      <w:r w:rsidRPr="003A0313">
        <w:rPr>
          <w:b/>
          <w:sz w:val="40"/>
          <w:lang w:val="en-GB"/>
        </w:rPr>
        <w:t xml:space="preserve">-2020: </w:t>
      </w:r>
      <w:r w:rsidR="00E63A75">
        <w:rPr>
          <w:b/>
          <w:sz w:val="40"/>
          <w:lang w:val="en-GB"/>
        </w:rPr>
        <w:t>Core Spatial Data</w:t>
      </w:r>
    </w:p>
    <w:p w14:paraId="01B91AE0" w14:textId="77777777" w:rsidR="00C27E95" w:rsidRPr="00A50466" w:rsidRDefault="00C27E95" w:rsidP="00C27E95">
      <w:pPr>
        <w:rPr>
          <w:lang w:val="en-GB"/>
        </w:rPr>
      </w:pPr>
    </w:p>
    <w:tbl>
      <w:tblPr>
        <w:tblW w:w="92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C27E95" w:rsidRPr="00A50466" w14:paraId="1B69DA42" w14:textId="77777777" w:rsidTr="00454D0A">
        <w:tc>
          <w:tcPr>
            <w:tcW w:w="2055" w:type="dxa"/>
            <w:shd w:val="clear" w:color="auto" w:fill="auto"/>
          </w:tcPr>
          <w:p w14:paraId="3548B1E8" w14:textId="77777777" w:rsidR="00C27E95" w:rsidRPr="00B837BC" w:rsidRDefault="00C27E95" w:rsidP="00454D0A">
            <w:pPr>
              <w:overflowPunct w:val="0"/>
              <w:autoSpaceDE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bCs/>
                <w:sz w:val="20"/>
                <w:szCs w:val="20"/>
                <w:lang w:val="en-GB" w:eastAsia="zh-CN"/>
              </w:rPr>
              <w:t>Type</w:t>
            </w:r>
          </w:p>
        </w:tc>
        <w:tc>
          <w:tcPr>
            <w:tcW w:w="7156" w:type="dxa"/>
            <w:shd w:val="clear" w:color="auto" w:fill="auto"/>
          </w:tcPr>
          <w:p w14:paraId="40DDE368" w14:textId="517C0143" w:rsidR="00C27E95" w:rsidRPr="00B837BC" w:rsidRDefault="00C27E95" w:rsidP="003A0313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sz w:val="20"/>
                <w:szCs w:val="20"/>
                <w:lang w:val="en-GB" w:eastAsia="zh-CN"/>
              </w:rPr>
              <w:t xml:space="preserve">Document for discussion </w:t>
            </w:r>
            <w:r w:rsidR="003A0313" w:rsidRPr="00B837BC">
              <w:rPr>
                <w:rFonts w:cs="Arial"/>
                <w:sz w:val="20"/>
                <w:szCs w:val="20"/>
                <w:lang w:val="en-GB" w:eastAsia="zh-CN"/>
              </w:rPr>
              <w:t>&amp; endorsement</w:t>
            </w:r>
          </w:p>
        </w:tc>
      </w:tr>
      <w:tr w:rsidR="00C27E95" w:rsidRPr="00A50466" w14:paraId="04484341" w14:textId="77777777" w:rsidTr="00454D0A">
        <w:tc>
          <w:tcPr>
            <w:tcW w:w="2055" w:type="dxa"/>
            <w:shd w:val="clear" w:color="auto" w:fill="auto"/>
          </w:tcPr>
          <w:p w14:paraId="46E6E8C6" w14:textId="77777777" w:rsidR="00C27E95" w:rsidRPr="00B837BC" w:rsidRDefault="00C27E95" w:rsidP="00454D0A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Creator</w:t>
            </w:r>
          </w:p>
        </w:tc>
        <w:tc>
          <w:tcPr>
            <w:tcW w:w="7156" w:type="dxa"/>
            <w:shd w:val="clear" w:color="auto" w:fill="auto"/>
          </w:tcPr>
          <w:p w14:paraId="237CC2C2" w14:textId="77777777" w:rsidR="00C27E95" w:rsidRPr="00B837BC" w:rsidRDefault="00C27E95" w:rsidP="00454D0A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sz w:val="20"/>
                <w:szCs w:val="20"/>
                <w:lang w:val="en-GB" w:eastAsia="zh-CN"/>
              </w:rPr>
              <w:t>EC and EEA INSPIRE Team</w:t>
            </w:r>
          </w:p>
        </w:tc>
      </w:tr>
      <w:tr w:rsidR="00C27E95" w:rsidRPr="00A50466" w14:paraId="14C6E44A" w14:textId="77777777" w:rsidTr="00454D0A">
        <w:tc>
          <w:tcPr>
            <w:tcW w:w="2055" w:type="dxa"/>
            <w:shd w:val="clear" w:color="auto" w:fill="auto"/>
          </w:tcPr>
          <w:p w14:paraId="6348BF9F" w14:textId="77777777" w:rsidR="00C27E95" w:rsidRPr="00B837BC" w:rsidRDefault="00C27E95" w:rsidP="00454D0A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Date/status/version</w:t>
            </w:r>
          </w:p>
        </w:tc>
        <w:tc>
          <w:tcPr>
            <w:tcW w:w="7156" w:type="dxa"/>
            <w:shd w:val="clear" w:color="auto" w:fill="auto"/>
          </w:tcPr>
          <w:p w14:paraId="78EC1AA3" w14:textId="680DEE52" w:rsidR="00C27E95" w:rsidRPr="00B837BC" w:rsidRDefault="003A0313" w:rsidP="00633B77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sz w:val="20"/>
                <w:szCs w:val="20"/>
                <w:lang w:val="en-GB" w:eastAsia="zh-CN"/>
              </w:rPr>
              <w:t>1</w:t>
            </w:r>
            <w:r w:rsidR="00633B77">
              <w:rPr>
                <w:rFonts w:cs="Arial"/>
                <w:sz w:val="20"/>
                <w:szCs w:val="20"/>
                <w:lang w:val="en-GB" w:eastAsia="zh-CN"/>
              </w:rPr>
              <w:t>5</w:t>
            </w:r>
            <w:r w:rsidR="00AB6343" w:rsidRPr="00B837BC">
              <w:rPr>
                <w:rFonts w:cs="Arial"/>
                <w:sz w:val="20"/>
                <w:szCs w:val="20"/>
                <w:lang w:val="en-GB" w:eastAsia="zh-CN"/>
              </w:rPr>
              <w:t>/11</w:t>
            </w:r>
            <w:r w:rsidR="009F5E50" w:rsidRPr="00B837BC">
              <w:rPr>
                <w:rFonts w:cs="Arial"/>
                <w:sz w:val="20"/>
                <w:szCs w:val="20"/>
                <w:lang w:val="en-GB" w:eastAsia="zh-CN"/>
              </w:rPr>
              <w:t xml:space="preserve">/2018 / </w:t>
            </w:r>
            <w:r w:rsidR="00AB6343" w:rsidRPr="00B837BC">
              <w:rPr>
                <w:rFonts w:cs="Arial"/>
                <w:sz w:val="20"/>
                <w:szCs w:val="20"/>
                <w:lang w:val="en-GB" w:eastAsia="zh-CN"/>
              </w:rPr>
              <w:t>DRAFT</w:t>
            </w:r>
          </w:p>
        </w:tc>
      </w:tr>
      <w:tr w:rsidR="00C27E95" w:rsidRPr="00A50466" w14:paraId="1C2C8DDF" w14:textId="77777777" w:rsidTr="00454D0A">
        <w:tc>
          <w:tcPr>
            <w:tcW w:w="2055" w:type="dxa"/>
            <w:shd w:val="clear" w:color="auto" w:fill="auto"/>
          </w:tcPr>
          <w:p w14:paraId="2D30B523" w14:textId="77777777" w:rsidR="00C27E95" w:rsidRPr="00B837BC" w:rsidRDefault="00C27E95" w:rsidP="00454D0A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Addressee</w:t>
            </w:r>
          </w:p>
        </w:tc>
        <w:tc>
          <w:tcPr>
            <w:tcW w:w="7156" w:type="dxa"/>
            <w:shd w:val="clear" w:color="auto" w:fill="auto"/>
          </w:tcPr>
          <w:p w14:paraId="40A1D9C7" w14:textId="1E1CA7DA" w:rsidR="00C27E95" w:rsidRPr="00B837BC" w:rsidRDefault="00C27E95" w:rsidP="00454D0A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sz w:val="20"/>
                <w:szCs w:val="20"/>
                <w:lang w:val="en-GB" w:eastAsia="zh-CN"/>
              </w:rPr>
              <w:t>MIG</w:t>
            </w:r>
          </w:p>
        </w:tc>
      </w:tr>
      <w:tr w:rsidR="00C27E95" w:rsidRPr="00A50466" w14:paraId="5FA193CF" w14:textId="77777777" w:rsidTr="005251D2"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744B7109" w14:textId="77777777" w:rsidR="00C27E95" w:rsidRPr="00B837BC" w:rsidRDefault="00C27E95" w:rsidP="00454D0A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Identifier</w:t>
            </w:r>
          </w:p>
        </w:tc>
        <w:tc>
          <w:tcPr>
            <w:tcW w:w="7156" w:type="dxa"/>
            <w:tcBorders>
              <w:bottom w:val="nil"/>
            </w:tcBorders>
            <w:shd w:val="clear" w:color="auto" w:fill="auto"/>
          </w:tcPr>
          <w:p w14:paraId="0D3C5BFC" w14:textId="404BD70D" w:rsidR="00C27E95" w:rsidRPr="00B837BC" w:rsidRDefault="003A0313" w:rsidP="00633B77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MIG/9/2018/DOC</w:t>
            </w:r>
            <w:r w:rsidR="00633B77">
              <w:rPr>
                <w:rFonts w:cs="Arial"/>
                <w:b/>
                <w:sz w:val="20"/>
                <w:szCs w:val="20"/>
                <w:lang w:val="en-GB" w:eastAsia="zh-CN"/>
              </w:rPr>
              <w:t>9</w:t>
            </w:r>
          </w:p>
        </w:tc>
      </w:tr>
      <w:tr w:rsidR="00C27E95" w:rsidRPr="00A50466" w14:paraId="1ED17B7C" w14:textId="77777777" w:rsidTr="005251D2"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</w:tcPr>
          <w:p w14:paraId="54B04E0E" w14:textId="77777777" w:rsidR="00C27E95" w:rsidRPr="00B837BC" w:rsidRDefault="00C27E95" w:rsidP="00454D0A">
            <w:pPr>
              <w:spacing w:after="120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Description</w:t>
            </w:r>
          </w:p>
        </w:tc>
        <w:tc>
          <w:tcPr>
            <w:tcW w:w="7156" w:type="dxa"/>
            <w:tcBorders>
              <w:top w:val="nil"/>
              <w:bottom w:val="nil"/>
            </w:tcBorders>
            <w:shd w:val="clear" w:color="auto" w:fill="auto"/>
          </w:tcPr>
          <w:p w14:paraId="6F01456E" w14:textId="0CFD05D1" w:rsidR="0087511F" w:rsidRPr="00B837BC" w:rsidRDefault="003A0313" w:rsidP="00167314">
            <w:pPr>
              <w:spacing w:after="120"/>
              <w:jc w:val="both"/>
              <w:rPr>
                <w:rFonts w:cs="Arial"/>
                <w:sz w:val="20"/>
                <w:szCs w:val="20"/>
                <w:lang w:val="en-GB" w:eastAsia="zh-CN"/>
              </w:rPr>
            </w:pPr>
            <w:proofErr w:type="gramStart"/>
            <w:r w:rsidRPr="00B837BC">
              <w:rPr>
                <w:rFonts w:cs="Arial"/>
                <w:sz w:val="20"/>
                <w:szCs w:val="20"/>
                <w:lang w:val="en-GB" w:eastAsia="zh-CN"/>
              </w:rPr>
              <w:t xml:space="preserve">Draft action mandate for a new action under the MIWP 2016-2020 </w:t>
            </w:r>
            <w:r w:rsidR="009536D8">
              <w:rPr>
                <w:rFonts w:cs="Arial"/>
                <w:sz w:val="20"/>
                <w:szCs w:val="20"/>
                <w:lang w:val="en-GB" w:eastAsia="zh-CN"/>
              </w:rPr>
              <w:t>to</w:t>
            </w:r>
            <w:r w:rsidRPr="00B837BC">
              <w:rPr>
                <w:rFonts w:cs="Arial"/>
                <w:sz w:val="20"/>
                <w:szCs w:val="20"/>
                <w:lang w:val="en-GB" w:eastAsia="zh-CN"/>
              </w:rPr>
              <w:t xml:space="preserve"> </w:t>
            </w:r>
            <w:r w:rsidR="00EC4DE7" w:rsidRPr="00EC4DE7">
              <w:rPr>
                <w:rFonts w:cs="Arial"/>
                <w:sz w:val="20"/>
                <w:szCs w:val="20"/>
                <w:lang w:val="en-GB" w:eastAsia="zh-CN"/>
              </w:rPr>
              <w:t xml:space="preserve">follow up on the cross-cutting core spatial data needs </w:t>
            </w:r>
            <w:r w:rsidR="009536D8">
              <w:rPr>
                <w:rFonts w:cs="Arial"/>
                <w:sz w:val="20"/>
                <w:szCs w:val="20"/>
                <w:lang w:val="en-GB" w:eastAsia="zh-CN"/>
              </w:rPr>
              <w:t xml:space="preserve">for sectorial use cases </w:t>
            </w:r>
            <w:r w:rsidR="009536D8" w:rsidRPr="009536D8">
              <w:rPr>
                <w:rFonts w:cs="Arial"/>
                <w:sz w:val="20"/>
                <w:szCs w:val="20"/>
                <w:lang w:val="en-GB" w:eastAsia="zh-CN"/>
              </w:rPr>
              <w:t>(transport spatial data for multi-modal journey planning, EU Regional Policy spatial data needs, Copernicus spatial data needs</w:t>
            </w:r>
            <w:r w:rsidR="00167314">
              <w:rPr>
                <w:rFonts w:cs="Arial"/>
                <w:sz w:val="20"/>
                <w:szCs w:val="20"/>
                <w:lang w:val="en-GB" w:eastAsia="zh-CN"/>
              </w:rPr>
              <w:t xml:space="preserve"> …</w:t>
            </w:r>
            <w:r w:rsidR="009536D8" w:rsidRPr="009536D8">
              <w:rPr>
                <w:rFonts w:cs="Arial"/>
                <w:sz w:val="20"/>
                <w:szCs w:val="20"/>
                <w:lang w:val="en-GB" w:eastAsia="zh-CN"/>
              </w:rPr>
              <w:t>)</w:t>
            </w:r>
            <w:r w:rsidR="009536D8">
              <w:rPr>
                <w:rFonts w:cs="Arial"/>
                <w:sz w:val="20"/>
                <w:szCs w:val="20"/>
                <w:lang w:val="en-GB" w:eastAsia="zh-CN"/>
              </w:rPr>
              <w:t xml:space="preserve"> as </w:t>
            </w:r>
            <w:r w:rsidR="00EC4DE7" w:rsidRPr="00EC4DE7">
              <w:rPr>
                <w:rFonts w:cs="Arial"/>
                <w:sz w:val="20"/>
                <w:szCs w:val="20"/>
                <w:lang w:val="en-GB" w:eastAsia="zh-CN"/>
              </w:rPr>
              <w:t xml:space="preserve">presented by the Commission in the </w:t>
            </w:r>
            <w:r w:rsidR="009536D8">
              <w:rPr>
                <w:rFonts w:cs="Arial"/>
                <w:sz w:val="20"/>
                <w:szCs w:val="20"/>
                <w:lang w:val="en-GB" w:eastAsia="zh-CN"/>
              </w:rPr>
              <w:t>8</w:t>
            </w:r>
            <w:r w:rsidR="00EC4DE7" w:rsidRPr="00EC4DE7">
              <w:rPr>
                <w:rFonts w:cs="Arial"/>
                <w:sz w:val="20"/>
                <w:szCs w:val="20"/>
                <w:lang w:val="en-GB" w:eastAsia="zh-CN"/>
              </w:rPr>
              <w:t>th meeting of the MIG</w:t>
            </w:r>
            <w:r w:rsidR="001C718C">
              <w:rPr>
                <w:rFonts w:cs="Arial"/>
                <w:sz w:val="20"/>
                <w:szCs w:val="20"/>
                <w:lang w:val="en-GB" w:eastAsia="zh-CN"/>
              </w:rPr>
              <w:t xml:space="preserve"> and to develop and implement a</w:t>
            </w:r>
            <w:r w:rsidR="009536D8" w:rsidRPr="009536D8">
              <w:rPr>
                <w:rFonts w:cs="Arial"/>
                <w:sz w:val="20"/>
                <w:szCs w:val="20"/>
                <w:lang w:val="en-GB" w:eastAsia="zh-CN"/>
              </w:rPr>
              <w:t xml:space="preserve"> roadmap for </w:t>
            </w:r>
            <w:r w:rsidR="00167314">
              <w:rPr>
                <w:rFonts w:cs="Arial"/>
                <w:sz w:val="20"/>
                <w:szCs w:val="20"/>
                <w:lang w:val="en-GB" w:eastAsia="zh-CN"/>
              </w:rPr>
              <w:t xml:space="preserve">a </w:t>
            </w:r>
            <w:r w:rsidR="009536D8" w:rsidRPr="009536D8">
              <w:rPr>
                <w:rFonts w:cs="Arial"/>
                <w:sz w:val="20"/>
                <w:szCs w:val="20"/>
                <w:lang w:val="en-GB" w:eastAsia="zh-CN"/>
              </w:rPr>
              <w:t xml:space="preserve">list of </w:t>
            </w:r>
            <w:r w:rsidR="00167314">
              <w:rPr>
                <w:rFonts w:cs="Arial"/>
                <w:sz w:val="20"/>
                <w:szCs w:val="20"/>
                <w:lang w:val="en-GB" w:eastAsia="zh-CN"/>
              </w:rPr>
              <w:t xml:space="preserve">core spatial data </w:t>
            </w:r>
            <w:r w:rsidR="009536D8" w:rsidRPr="009536D8">
              <w:rPr>
                <w:rFonts w:cs="Arial"/>
                <w:sz w:val="20"/>
                <w:szCs w:val="20"/>
                <w:lang w:val="en-GB" w:eastAsia="zh-CN"/>
              </w:rPr>
              <w:t>sets.</w:t>
            </w:r>
            <w:proofErr w:type="gramEnd"/>
          </w:p>
        </w:tc>
      </w:tr>
      <w:tr w:rsidR="00C27E95" w:rsidRPr="00A50466" w14:paraId="2DEDA656" w14:textId="77777777" w:rsidTr="005251D2">
        <w:trPr>
          <w:trHeight w:val="60"/>
        </w:trPr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7AF486" w14:textId="32934A28" w:rsidR="00C27E95" w:rsidRPr="00B837BC" w:rsidRDefault="003067B5" w:rsidP="003067B5">
            <w:pPr>
              <w:overflowPunct w:val="0"/>
              <w:autoSpaceDE w:val="0"/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  <w:lang w:val="en-GB" w:eastAsia="zh-CN"/>
              </w:rPr>
            </w:pPr>
            <w:r w:rsidRPr="00B837BC">
              <w:rPr>
                <w:rFonts w:cs="Arial"/>
                <w:b/>
                <w:sz w:val="20"/>
                <w:szCs w:val="20"/>
                <w:lang w:val="en-GB" w:eastAsia="zh-CN"/>
              </w:rPr>
              <w:t>Actions</w:t>
            </w:r>
          </w:p>
        </w:tc>
        <w:tc>
          <w:tcPr>
            <w:tcW w:w="7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4DD713" w14:textId="77777777" w:rsidR="003067B5" w:rsidRPr="00B837BC" w:rsidRDefault="003067B5" w:rsidP="003067B5">
            <w:pPr>
              <w:overflowPunct w:val="0"/>
              <w:autoSpaceDE w:val="0"/>
              <w:spacing w:after="120"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The members of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the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B837BC">
              <w:rPr>
                <w:rFonts w:cs="Arial"/>
                <w:sz w:val="20"/>
                <w:szCs w:val="20"/>
                <w:lang w:eastAsia="zh-CN"/>
              </w:rPr>
              <w:t>MIG are</w:t>
            </w:r>
            <w:proofErr w:type="gram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invited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to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: </w:t>
            </w:r>
          </w:p>
          <w:p w14:paraId="5D8660C5" w14:textId="1174969F" w:rsidR="003067B5" w:rsidRPr="00B837BC" w:rsidRDefault="003067B5" w:rsidP="00F92BD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120"/>
              <w:contextualSpacing/>
              <w:jc w:val="both"/>
              <w:textAlignment w:val="baseline"/>
              <w:rPr>
                <w:rFonts w:cs="Arial"/>
                <w:sz w:val="20"/>
                <w:szCs w:val="20"/>
                <w:lang w:eastAsia="zh-CN"/>
              </w:rPr>
            </w:pPr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Take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note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the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document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and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discuss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it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at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the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9</w:t>
            </w:r>
            <w:r w:rsidRPr="00B837BC">
              <w:rPr>
                <w:rFonts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meeting of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the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MIG;</w:t>
            </w:r>
          </w:p>
          <w:p w14:paraId="2A7A391C" w14:textId="37A4182C" w:rsidR="00C27E95" w:rsidRPr="00B837BC" w:rsidRDefault="003067B5" w:rsidP="00F92BD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120"/>
              <w:contextualSpacing/>
              <w:jc w:val="both"/>
              <w:textAlignment w:val="baseline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Endorse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the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document at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the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MIG meeting as a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core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MIWP action </w:t>
            </w:r>
            <w:proofErr w:type="spellStart"/>
            <w:r w:rsidRPr="00B837BC">
              <w:rPr>
                <w:rFonts w:cs="Arial"/>
                <w:sz w:val="20"/>
                <w:szCs w:val="20"/>
                <w:lang w:eastAsia="zh-CN"/>
              </w:rPr>
              <w:t>for</w:t>
            </w:r>
            <w:proofErr w:type="spellEnd"/>
            <w:r w:rsidRPr="00B837BC">
              <w:rPr>
                <w:rFonts w:cs="Arial"/>
                <w:sz w:val="20"/>
                <w:szCs w:val="20"/>
                <w:lang w:eastAsia="zh-CN"/>
              </w:rPr>
              <w:t xml:space="preserve"> 2019.</w:t>
            </w:r>
          </w:p>
        </w:tc>
      </w:tr>
    </w:tbl>
    <w:bookmarkStart w:id="0" w:name="_Ref142569416"/>
    <w:bookmarkStart w:id="1" w:name="_Ref309139146"/>
    <w:bookmarkStart w:id="2" w:name="_Toc438449801"/>
    <w:bookmarkStart w:id="3" w:name="_Toc438455659"/>
    <w:bookmarkStart w:id="4" w:name="_Toc438459010"/>
    <w:bookmarkStart w:id="5" w:name="_Toc438459054"/>
    <w:bookmarkStart w:id="6" w:name="_Toc438449802"/>
    <w:bookmarkStart w:id="7" w:name="_Toc438455660"/>
    <w:bookmarkStart w:id="8" w:name="_Toc438459011"/>
    <w:bookmarkStart w:id="9" w:name="_Toc438459055"/>
    <w:bookmarkStart w:id="10" w:name="_Toc438449810"/>
    <w:bookmarkStart w:id="11" w:name="_Toc438455668"/>
    <w:bookmarkStart w:id="12" w:name="_Toc438459019"/>
    <w:bookmarkStart w:id="13" w:name="_Toc43845906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6678478" w14:textId="5E8CD308" w:rsidR="003E260F" w:rsidRPr="0074779A" w:rsidRDefault="00C27E95" w:rsidP="003E260F">
      <w:pPr>
        <w:pStyle w:val="Heading1"/>
        <w:numPr>
          <w:ilvl w:val="0"/>
          <w:numId w:val="0"/>
        </w:numPr>
        <w:spacing w:before="80" w:after="80"/>
      </w:pPr>
      <w:r w:rsidRPr="00A50466">
        <w:fldChar w:fldCharType="begin"/>
      </w:r>
      <w:r w:rsidRPr="00A50466">
        <w:instrText xml:space="preserve"> TOC \o "1-3" \u </w:instrText>
      </w:r>
      <w:r w:rsidRPr="00A50466">
        <w:fldChar w:fldCharType="end"/>
      </w:r>
      <w:r w:rsidRPr="00A50466">
        <w:br w:type="page"/>
      </w:r>
      <w:r w:rsidR="003E260F" w:rsidRPr="002555E5">
        <w:rPr>
          <w:lang w:val="en-GB"/>
        </w:rPr>
        <w:lastRenderedPageBreak/>
        <w:t>MIWP 2019.</w:t>
      </w:r>
      <w:r w:rsidR="00167314">
        <w:rPr>
          <w:lang w:val="en-GB"/>
        </w:rPr>
        <w:t>3</w:t>
      </w:r>
      <w:r w:rsidR="003E260F" w:rsidRPr="002555E5">
        <w:rPr>
          <w:lang w:val="en-GB"/>
        </w:rPr>
        <w:t xml:space="preserve">: </w:t>
      </w:r>
      <w:r w:rsidR="00167314">
        <w:rPr>
          <w:lang w:val="en-GB"/>
        </w:rPr>
        <w:t xml:space="preserve">List of </w:t>
      </w:r>
      <w:r w:rsidR="00167314" w:rsidRPr="00167314">
        <w:rPr>
          <w:lang w:val="en-GB"/>
        </w:rPr>
        <w:t>Core Spatial Data</w:t>
      </w:r>
      <w:r w:rsidR="00167314">
        <w:rPr>
          <w:lang w:val="en-GB"/>
        </w:rPr>
        <w:t xml:space="preserve"> Sets</w:t>
      </w:r>
      <w:r w:rsidR="003E260F" w:rsidRPr="002555E5">
        <w:rPr>
          <w:lang w:val="en-GB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51"/>
        <w:gridCol w:w="1559"/>
        <w:gridCol w:w="284"/>
        <w:gridCol w:w="1701"/>
        <w:gridCol w:w="2126"/>
        <w:gridCol w:w="1588"/>
      </w:tblGrid>
      <w:tr w:rsidR="003E260F" w:rsidRPr="0040043A" w14:paraId="392F39A3" w14:textId="77777777" w:rsidTr="00271EDB">
        <w:tc>
          <w:tcPr>
            <w:tcW w:w="1951" w:type="dxa"/>
            <w:shd w:val="clear" w:color="auto" w:fill="D9D9D9" w:themeFill="background1" w:themeFillShade="D9"/>
          </w:tcPr>
          <w:p w14:paraId="6C51B114" w14:textId="77777777" w:rsidR="003E260F" w:rsidRPr="000A417C" w:rsidRDefault="003E260F" w:rsidP="00271EDB">
            <w:pPr>
              <w:spacing w:before="80" w:after="80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258" w:type="dxa"/>
            <w:gridSpan w:val="5"/>
            <w:shd w:val="clear" w:color="auto" w:fill="D9D9D9" w:themeFill="background1" w:themeFillShade="D9"/>
          </w:tcPr>
          <w:p w14:paraId="15034308" w14:textId="78B644F2" w:rsidR="003E260F" w:rsidRPr="000A417C" w:rsidRDefault="00167314" w:rsidP="00167314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of </w:t>
            </w:r>
            <w:proofErr w:type="spellStart"/>
            <w:r>
              <w:rPr>
                <w:b/>
                <w:sz w:val="20"/>
                <w:szCs w:val="20"/>
              </w:rPr>
              <w:t>core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spatial</w:t>
            </w:r>
            <w:proofErr w:type="spellEnd"/>
            <w:r>
              <w:rPr>
                <w:b/>
                <w:sz w:val="20"/>
                <w:szCs w:val="20"/>
              </w:rPr>
              <w:t xml:space="preserve"> data sets</w:t>
            </w:r>
          </w:p>
        </w:tc>
      </w:tr>
      <w:tr w:rsidR="003E260F" w:rsidRPr="0040043A" w14:paraId="66EC5460" w14:textId="77777777" w:rsidTr="00271EDB">
        <w:tc>
          <w:tcPr>
            <w:tcW w:w="1951" w:type="dxa"/>
          </w:tcPr>
          <w:p w14:paraId="63C2F0BD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7258" w:type="dxa"/>
            <w:gridSpan w:val="5"/>
          </w:tcPr>
          <w:p w14:paraId="489A6A49" w14:textId="5E0E2EC7" w:rsidR="003E260F" w:rsidRPr="000A417C" w:rsidRDefault="003E260F" w:rsidP="00167314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  <w:r w:rsidR="00167314">
              <w:rPr>
                <w:sz w:val="20"/>
                <w:szCs w:val="20"/>
              </w:rPr>
              <w:t>3</w:t>
            </w:r>
          </w:p>
        </w:tc>
      </w:tr>
      <w:tr w:rsidR="003E260F" w:rsidRPr="0040043A" w14:paraId="12AFF7A7" w14:textId="77777777" w:rsidTr="00271EDB">
        <w:tc>
          <w:tcPr>
            <w:tcW w:w="1951" w:type="dxa"/>
          </w:tcPr>
          <w:p w14:paraId="136DC942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CEAF68" w14:textId="77777777" w:rsidR="003E260F" w:rsidRPr="000A417C" w:rsidRDefault="00F531A3" w:rsidP="00271EDB">
            <w:pPr>
              <w:spacing w:before="80" w:after="80" w:line="259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9861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rFonts w:cs="Arial"/>
                <w:sz w:val="20"/>
                <w:szCs w:val="20"/>
              </w:rPr>
              <w:t>Proposed</w:t>
            </w:r>
            <w:proofErr w:type="spellEnd"/>
            <w:r w:rsidR="003E260F" w:rsidRPr="000A41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C1F19" w14:textId="77777777" w:rsidR="003E260F" w:rsidRPr="000A417C" w:rsidRDefault="00F531A3" w:rsidP="00271EDB">
            <w:pPr>
              <w:spacing w:before="80" w:after="80" w:line="259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25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3E260F" w:rsidRPr="000A417C">
              <w:rPr>
                <w:rFonts w:cs="Arial"/>
                <w:sz w:val="20"/>
                <w:szCs w:val="20"/>
              </w:rPr>
              <w:t>Endorsed</w:t>
            </w:r>
            <w:proofErr w:type="spellEnd"/>
            <w:r w:rsidR="003E260F" w:rsidRPr="000A41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B1AE5D" w14:textId="77777777" w:rsidR="003E260F" w:rsidRPr="000A417C" w:rsidRDefault="00F531A3" w:rsidP="00271EDB">
            <w:pPr>
              <w:spacing w:before="80" w:after="80" w:line="259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rFonts w:cs="Arial"/>
                <w:sz w:val="20"/>
                <w:szCs w:val="20"/>
              </w:rPr>
              <w:t xml:space="preserve">  In </w:t>
            </w:r>
            <w:proofErr w:type="spellStart"/>
            <w:r w:rsidR="003E260F" w:rsidRPr="000A417C">
              <w:rPr>
                <w:rFonts w:cs="Arial"/>
                <w:sz w:val="20"/>
                <w:szCs w:val="20"/>
              </w:rPr>
              <w:t>Progress</w:t>
            </w:r>
            <w:proofErr w:type="spellEnd"/>
            <w:r w:rsidR="003E260F" w:rsidRPr="000A41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337B0D0A" w14:textId="77777777" w:rsidR="003E260F" w:rsidRPr="000A417C" w:rsidRDefault="00F531A3" w:rsidP="00271EDB">
            <w:pPr>
              <w:spacing w:before="80" w:after="80" w:line="259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70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3E260F" w:rsidRPr="000A417C">
              <w:rPr>
                <w:rFonts w:cs="Arial"/>
                <w:sz w:val="20"/>
                <w:szCs w:val="20"/>
              </w:rPr>
              <w:t>Completed</w:t>
            </w:r>
            <w:proofErr w:type="spellEnd"/>
            <w:r w:rsidR="003E260F" w:rsidRPr="000A417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E260F" w:rsidRPr="0040043A" w14:paraId="506C428C" w14:textId="77777777" w:rsidTr="00271EDB">
        <w:tc>
          <w:tcPr>
            <w:tcW w:w="1951" w:type="dxa"/>
          </w:tcPr>
          <w:p w14:paraId="03BC6BEE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7258" w:type="dxa"/>
            <w:gridSpan w:val="5"/>
            <w:shd w:val="clear" w:color="auto" w:fill="FFFFFF" w:themeFill="background1"/>
          </w:tcPr>
          <w:p w14:paraId="1D8D561B" w14:textId="2D195773" w:rsidR="003554D9" w:rsidRDefault="003554D9" w:rsidP="007C4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implementation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Directive </w:t>
            </w:r>
            <w:proofErr w:type="spellStart"/>
            <w:r>
              <w:rPr>
                <w:sz w:val="20"/>
                <w:szCs w:val="20"/>
              </w:rPr>
              <w:t>establishing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Infrastructure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Spatial</w:t>
            </w:r>
            <w:proofErr w:type="spellEnd"/>
            <w:r>
              <w:rPr>
                <w:sz w:val="20"/>
                <w:szCs w:val="20"/>
              </w:rPr>
              <w:t xml:space="preserve"> Information in Europe (INSPIRE, Directive 2007/2/EC) </w:t>
            </w:r>
            <w:r w:rsidR="00AD4BB0">
              <w:rPr>
                <w:sz w:val="20"/>
                <w:szCs w:val="20"/>
              </w:rPr>
              <w:t xml:space="preserve">has </w:t>
            </w:r>
            <w:proofErr w:type="spellStart"/>
            <w:r w:rsidR="00AD4BB0">
              <w:rPr>
                <w:sz w:val="20"/>
                <w:szCs w:val="20"/>
              </w:rPr>
              <w:t>moved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into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its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911DB6">
              <w:rPr>
                <w:sz w:val="20"/>
                <w:szCs w:val="20"/>
              </w:rPr>
              <w:t>decisive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phase</w:t>
            </w:r>
            <w:proofErr w:type="spellEnd"/>
            <w:r w:rsidR="00AD4B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date of </w:t>
            </w:r>
            <w:proofErr w:type="spellStart"/>
            <w:r>
              <w:rPr>
                <w:sz w:val="20"/>
                <w:szCs w:val="20"/>
              </w:rPr>
              <w:t>today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are no </w:t>
            </w:r>
            <w:proofErr w:type="spellStart"/>
            <w:r>
              <w:rPr>
                <w:sz w:val="20"/>
                <w:szCs w:val="20"/>
              </w:rPr>
              <w:t>easily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  <w:r>
              <w:rPr>
                <w:sz w:val="20"/>
                <w:szCs w:val="20"/>
              </w:rPr>
              <w:t xml:space="preserve"> pan-European information </w:t>
            </w:r>
            <w:proofErr w:type="spellStart"/>
            <w:r>
              <w:rPr>
                <w:sz w:val="20"/>
                <w:szCs w:val="20"/>
              </w:rPr>
              <w:t>products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INSPIRE </w:t>
            </w:r>
            <w:proofErr w:type="spellStart"/>
            <w:r>
              <w:rPr>
                <w:sz w:val="20"/>
                <w:szCs w:val="20"/>
              </w:rPr>
              <w:t>infrastructure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facilitate</w:t>
            </w:r>
            <w:proofErr w:type="spellEnd"/>
            <w:r>
              <w:rPr>
                <w:sz w:val="20"/>
                <w:szCs w:val="20"/>
              </w:rPr>
              <w:t xml:space="preserve"> EU-level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cases.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impedes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pick-up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infrastructure</w:t>
            </w:r>
            <w:proofErr w:type="spellEnd"/>
            <w:r>
              <w:rPr>
                <w:sz w:val="20"/>
                <w:szCs w:val="20"/>
              </w:rPr>
              <w:t xml:space="preserve"> at EU-level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beyond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INSPIRE community. The </w:t>
            </w:r>
            <w:proofErr w:type="spellStart"/>
            <w:r>
              <w:rPr>
                <w:sz w:val="20"/>
                <w:szCs w:val="20"/>
              </w:rPr>
              <w:t>lack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/or easy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also</w:t>
            </w:r>
            <w:proofErr w:type="spellEnd"/>
            <w:r>
              <w:rPr>
                <w:sz w:val="20"/>
                <w:szCs w:val="20"/>
              </w:rPr>
              <w:t xml:space="preserve"> impacts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availability of end-user </w:t>
            </w:r>
            <w:proofErr w:type="spellStart"/>
            <w:r>
              <w:rPr>
                <w:sz w:val="20"/>
                <w:szCs w:val="20"/>
              </w:rPr>
              <w:t>applications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satisfy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 xml:space="preserve"> of users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offer a low-</w:t>
            </w:r>
            <w:proofErr w:type="spellStart"/>
            <w:r>
              <w:rPr>
                <w:sz w:val="20"/>
                <w:szCs w:val="20"/>
              </w:rPr>
              <w:t>threshold</w:t>
            </w:r>
            <w:proofErr w:type="spellEnd"/>
            <w:r>
              <w:rPr>
                <w:sz w:val="20"/>
                <w:szCs w:val="20"/>
              </w:rPr>
              <w:t xml:space="preserve"> access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larger</w:t>
            </w:r>
            <w:proofErr w:type="spellEnd"/>
            <w:r>
              <w:rPr>
                <w:sz w:val="20"/>
                <w:szCs w:val="20"/>
              </w:rPr>
              <w:t xml:space="preserve"> public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European </w:t>
            </w:r>
            <w:proofErr w:type="spellStart"/>
            <w:r>
              <w:rPr>
                <w:sz w:val="20"/>
                <w:szCs w:val="20"/>
              </w:rPr>
              <w:t>spatial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infrastructure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BAA1FF" w14:textId="750D2400" w:rsidR="00911DB6" w:rsidRDefault="00911DB6" w:rsidP="005A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</w:t>
            </w:r>
            <w:r w:rsidR="008D40DD">
              <w:rPr>
                <w:sz w:val="20"/>
                <w:szCs w:val="20"/>
              </w:rPr>
              <w:t xml:space="preserve">first priority </w:t>
            </w:r>
            <w:proofErr w:type="spellStart"/>
            <w:r w:rsidR="008D40DD">
              <w:rPr>
                <w:sz w:val="20"/>
                <w:szCs w:val="20"/>
              </w:rPr>
              <w:t>use</w:t>
            </w:r>
            <w:proofErr w:type="spellEnd"/>
            <w:r w:rsidR="008D40DD">
              <w:rPr>
                <w:sz w:val="20"/>
                <w:szCs w:val="20"/>
              </w:rPr>
              <w:t xml:space="preserve"> case </w:t>
            </w:r>
            <w:proofErr w:type="spellStart"/>
            <w:r w:rsidR="008C416D">
              <w:rPr>
                <w:sz w:val="20"/>
                <w:szCs w:val="20"/>
              </w:rPr>
              <w:t>the</w:t>
            </w:r>
            <w:proofErr w:type="spellEnd"/>
            <w:r w:rsidR="008C416D">
              <w:rPr>
                <w:sz w:val="20"/>
                <w:szCs w:val="20"/>
              </w:rPr>
              <w:t xml:space="preserve"> </w:t>
            </w:r>
            <w:proofErr w:type="spellStart"/>
            <w:r w:rsidRPr="00911DB6">
              <w:rPr>
                <w:sz w:val="20"/>
                <w:szCs w:val="20"/>
              </w:rPr>
              <w:t>C</w:t>
            </w:r>
            <w:r w:rsidR="008C416D">
              <w:rPr>
                <w:sz w:val="20"/>
                <w:szCs w:val="20"/>
              </w:rPr>
              <w:t>ommisison</w:t>
            </w:r>
            <w:proofErr w:type="spellEnd"/>
            <w:r w:rsidR="008C416D">
              <w:rPr>
                <w:sz w:val="20"/>
                <w:szCs w:val="20"/>
              </w:rPr>
              <w:t xml:space="preserve"> h</w:t>
            </w:r>
            <w:r w:rsidRPr="00911DB6">
              <w:rPr>
                <w:sz w:val="20"/>
                <w:szCs w:val="20"/>
              </w:rPr>
              <w:t xml:space="preserve">as </w:t>
            </w:r>
            <w:proofErr w:type="spellStart"/>
            <w:r w:rsidRPr="00911DB6">
              <w:rPr>
                <w:sz w:val="20"/>
                <w:szCs w:val="20"/>
              </w:rPr>
              <w:t>selected</w:t>
            </w:r>
            <w:proofErr w:type="spellEnd"/>
            <w:r w:rsidRPr="00911DB6">
              <w:rPr>
                <w:sz w:val="20"/>
                <w:szCs w:val="20"/>
              </w:rPr>
              <w:t xml:space="preserve"> monitoring </w:t>
            </w:r>
            <w:proofErr w:type="spellStart"/>
            <w:r w:rsidRPr="00911DB6">
              <w:rPr>
                <w:sz w:val="20"/>
                <w:szCs w:val="20"/>
              </w:rPr>
              <w:t>and</w:t>
            </w:r>
            <w:proofErr w:type="spellEnd"/>
            <w:r w:rsidRPr="00911DB6">
              <w:rPr>
                <w:sz w:val="20"/>
                <w:szCs w:val="20"/>
              </w:rPr>
              <w:t xml:space="preserve"> </w:t>
            </w:r>
            <w:proofErr w:type="spellStart"/>
            <w:r w:rsidRPr="00911DB6">
              <w:rPr>
                <w:sz w:val="20"/>
                <w:szCs w:val="20"/>
              </w:rPr>
              <w:t>reporting</w:t>
            </w:r>
            <w:proofErr w:type="spellEnd"/>
            <w:r w:rsidRPr="00911DB6">
              <w:rPr>
                <w:sz w:val="20"/>
                <w:szCs w:val="20"/>
              </w:rPr>
              <w:t xml:space="preserve"> </w:t>
            </w:r>
            <w:proofErr w:type="spellStart"/>
            <w:r w:rsidRPr="00911DB6">
              <w:rPr>
                <w:sz w:val="20"/>
                <w:szCs w:val="20"/>
              </w:rPr>
              <w:t>under</w:t>
            </w:r>
            <w:proofErr w:type="spellEnd"/>
            <w:r w:rsidRPr="00911DB6">
              <w:rPr>
                <w:sz w:val="20"/>
                <w:szCs w:val="20"/>
              </w:rPr>
              <w:t xml:space="preserve"> </w:t>
            </w:r>
            <w:proofErr w:type="spellStart"/>
            <w:r w:rsidRPr="00911DB6">
              <w:rPr>
                <w:sz w:val="20"/>
                <w:szCs w:val="20"/>
              </w:rPr>
              <w:t>the</w:t>
            </w:r>
            <w:proofErr w:type="spellEnd"/>
            <w:r w:rsidRPr="00911DB6">
              <w:rPr>
                <w:sz w:val="20"/>
                <w:szCs w:val="20"/>
              </w:rPr>
              <w:t xml:space="preserve"> </w:t>
            </w:r>
            <w:proofErr w:type="spellStart"/>
            <w:r w:rsidRPr="00911DB6">
              <w:rPr>
                <w:sz w:val="20"/>
                <w:szCs w:val="20"/>
              </w:rPr>
              <w:t>environmental</w:t>
            </w:r>
            <w:proofErr w:type="spellEnd"/>
            <w:r w:rsidRPr="00911DB6">
              <w:rPr>
                <w:sz w:val="20"/>
                <w:szCs w:val="20"/>
              </w:rPr>
              <w:t xml:space="preserve"> acquis </w:t>
            </w:r>
            <w:proofErr w:type="spellStart"/>
            <w:r w:rsidR="005A17E1">
              <w:rPr>
                <w:sz w:val="20"/>
                <w:szCs w:val="20"/>
              </w:rPr>
              <w:t>and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developed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r w:rsidRPr="00F531A3">
              <w:rPr>
                <w:b/>
                <w:sz w:val="20"/>
                <w:szCs w:val="20"/>
              </w:rPr>
              <w:t xml:space="preserve">a </w:t>
            </w:r>
            <w:r w:rsidR="005A17E1" w:rsidRPr="00F531A3">
              <w:rPr>
                <w:b/>
                <w:sz w:val="20"/>
                <w:szCs w:val="20"/>
              </w:rPr>
              <w:t>priority l</w:t>
            </w:r>
            <w:r w:rsidRPr="00F531A3">
              <w:rPr>
                <w:b/>
                <w:sz w:val="20"/>
                <w:szCs w:val="20"/>
              </w:rPr>
              <w:t xml:space="preserve">ist of </w:t>
            </w:r>
            <w:proofErr w:type="spellStart"/>
            <w:r w:rsidR="005A17E1" w:rsidRPr="00F531A3">
              <w:rPr>
                <w:b/>
                <w:sz w:val="20"/>
                <w:szCs w:val="20"/>
              </w:rPr>
              <w:t>environmental</w:t>
            </w:r>
            <w:proofErr w:type="spellEnd"/>
            <w:r w:rsidR="005A17E1" w:rsidRPr="00F531A3">
              <w:rPr>
                <w:b/>
                <w:sz w:val="20"/>
                <w:szCs w:val="20"/>
              </w:rPr>
              <w:t xml:space="preserve"> </w:t>
            </w:r>
            <w:bookmarkStart w:id="14" w:name="_GoBack"/>
            <w:bookmarkEnd w:id="14"/>
            <w:r w:rsidRPr="00F531A3">
              <w:rPr>
                <w:b/>
                <w:sz w:val="20"/>
                <w:szCs w:val="20"/>
              </w:rPr>
              <w:t>data</w:t>
            </w:r>
            <w:r w:rsidR="005A17E1" w:rsidRPr="00F531A3">
              <w:rPr>
                <w:b/>
                <w:sz w:val="20"/>
                <w:szCs w:val="20"/>
              </w:rPr>
              <w:t xml:space="preserve"> </w:t>
            </w:r>
            <w:r w:rsidRPr="00F531A3">
              <w:rPr>
                <w:b/>
                <w:sz w:val="20"/>
                <w:szCs w:val="20"/>
              </w:rPr>
              <w:t>sets</w:t>
            </w:r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together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with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the</w:t>
            </w:r>
            <w:proofErr w:type="spellEnd"/>
            <w:r w:rsidR="005A17E1">
              <w:rPr>
                <w:sz w:val="20"/>
                <w:szCs w:val="20"/>
              </w:rPr>
              <w:t xml:space="preserve"> Member </w:t>
            </w:r>
            <w:proofErr w:type="spellStart"/>
            <w:r w:rsidR="005A17E1">
              <w:rPr>
                <w:sz w:val="20"/>
                <w:szCs w:val="20"/>
              </w:rPr>
              <w:t>States</w:t>
            </w:r>
            <w:proofErr w:type="spellEnd"/>
            <w:r w:rsidR="005A17E1">
              <w:rPr>
                <w:sz w:val="20"/>
                <w:szCs w:val="20"/>
              </w:rPr>
              <w:t xml:space="preserve">. </w:t>
            </w:r>
            <w:proofErr w:type="spellStart"/>
            <w:r w:rsidR="005A17E1">
              <w:rPr>
                <w:sz w:val="20"/>
                <w:szCs w:val="20"/>
              </w:rPr>
              <w:t>This</w:t>
            </w:r>
            <w:proofErr w:type="spellEnd"/>
            <w:r w:rsidR="005A17E1">
              <w:rPr>
                <w:sz w:val="20"/>
                <w:szCs w:val="20"/>
              </w:rPr>
              <w:t xml:space="preserve"> list is </w:t>
            </w:r>
            <w:proofErr w:type="spellStart"/>
            <w:r w:rsidR="005A17E1">
              <w:rPr>
                <w:sz w:val="20"/>
                <w:szCs w:val="20"/>
              </w:rPr>
              <w:t>managed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and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implemented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through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gramStart"/>
            <w:r w:rsidR="005A17E1">
              <w:rPr>
                <w:sz w:val="20"/>
                <w:szCs w:val="20"/>
              </w:rPr>
              <w:t>MIWP action</w:t>
            </w:r>
            <w:proofErr w:type="gramEnd"/>
            <w:r w:rsidR="005A17E1">
              <w:rPr>
                <w:sz w:val="20"/>
                <w:szCs w:val="20"/>
              </w:rPr>
              <w:t xml:space="preserve"> 2016.5 </w:t>
            </w:r>
            <w:proofErr w:type="spellStart"/>
            <w:r w:rsidR="005A17E1">
              <w:rPr>
                <w:sz w:val="20"/>
                <w:szCs w:val="20"/>
              </w:rPr>
              <w:t>and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its</w:t>
            </w:r>
            <w:proofErr w:type="spellEnd"/>
            <w:r w:rsidR="005A17E1">
              <w:rPr>
                <w:sz w:val="20"/>
                <w:szCs w:val="20"/>
              </w:rPr>
              <w:t xml:space="preserve"> </w:t>
            </w:r>
            <w:proofErr w:type="spellStart"/>
            <w:r w:rsidR="005A17E1">
              <w:rPr>
                <w:sz w:val="20"/>
                <w:szCs w:val="20"/>
              </w:rPr>
              <w:t>subgroup</w:t>
            </w:r>
            <w:proofErr w:type="spellEnd"/>
            <w:r w:rsidRPr="00911DB6">
              <w:rPr>
                <w:sz w:val="20"/>
                <w:szCs w:val="20"/>
              </w:rPr>
              <w:t>.</w:t>
            </w:r>
            <w:r w:rsidR="005A17E1">
              <w:rPr>
                <w:sz w:val="20"/>
                <w:szCs w:val="20"/>
              </w:rPr>
              <w:t xml:space="preserve">  </w:t>
            </w:r>
          </w:p>
          <w:p w14:paraId="5CE240D6" w14:textId="4AED13D7" w:rsidR="007F7202" w:rsidRDefault="005A17E1" w:rsidP="007C4B34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identified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spatial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requirements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European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 w:rsidR="008C416D">
              <w:rPr>
                <w:sz w:val="20"/>
                <w:szCs w:val="20"/>
              </w:rPr>
              <w:t xml:space="preserve">, </w:t>
            </w:r>
            <w:proofErr w:type="spellStart"/>
            <w:r w:rsidR="008C416D">
              <w:rPr>
                <w:sz w:val="20"/>
                <w:szCs w:val="20"/>
              </w:rPr>
              <w:t>the</w:t>
            </w:r>
            <w:proofErr w:type="spellEnd"/>
            <w:r w:rsidR="008C416D">
              <w:rPr>
                <w:sz w:val="20"/>
                <w:szCs w:val="20"/>
              </w:rPr>
              <w:t xml:space="preserve"> </w:t>
            </w:r>
            <w:proofErr w:type="spellStart"/>
            <w:r w:rsidR="008C416D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mmission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554D9">
              <w:rPr>
                <w:sz w:val="20"/>
                <w:szCs w:val="20"/>
              </w:rPr>
              <w:t xml:space="preserve">has </w:t>
            </w:r>
            <w:proofErr w:type="spellStart"/>
            <w:r w:rsidR="003554D9">
              <w:rPr>
                <w:sz w:val="20"/>
                <w:szCs w:val="20"/>
              </w:rPr>
              <w:t>selected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AD4BB0" w:rsidRPr="00AD4BB0">
              <w:rPr>
                <w:sz w:val="20"/>
                <w:szCs w:val="20"/>
              </w:rPr>
              <w:t>core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</w:t>
            </w:r>
            <w:proofErr w:type="spellStart"/>
            <w:r w:rsidR="00AD4BB0" w:rsidRPr="00AD4BB0">
              <w:rPr>
                <w:sz w:val="20"/>
                <w:szCs w:val="20"/>
              </w:rPr>
              <w:t>spatial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data </w:t>
            </w:r>
            <w:proofErr w:type="spellStart"/>
            <w:r w:rsidR="00AD4BB0" w:rsidRPr="00AD4BB0">
              <w:rPr>
                <w:sz w:val="20"/>
                <w:szCs w:val="20"/>
              </w:rPr>
              <w:t>needs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</w:t>
            </w:r>
            <w:proofErr w:type="spellStart"/>
            <w:r w:rsidR="00AD4BB0" w:rsidRPr="00AD4BB0">
              <w:rPr>
                <w:sz w:val="20"/>
                <w:szCs w:val="20"/>
              </w:rPr>
              <w:t>for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</w:t>
            </w:r>
            <w:proofErr w:type="spellStart"/>
            <w:r w:rsidR="00AD4BB0" w:rsidRPr="00AD4BB0">
              <w:rPr>
                <w:sz w:val="20"/>
                <w:szCs w:val="20"/>
              </w:rPr>
              <w:t>sectorial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</w:t>
            </w:r>
            <w:proofErr w:type="spellStart"/>
            <w:r w:rsidR="00AD4BB0" w:rsidRPr="00AD4BB0">
              <w:rPr>
                <w:sz w:val="20"/>
                <w:szCs w:val="20"/>
              </w:rPr>
              <w:t>use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cases </w:t>
            </w:r>
            <w:r w:rsidR="00AD4BB0" w:rsidRPr="009536D8">
              <w:rPr>
                <w:rFonts w:cs="Arial"/>
                <w:sz w:val="20"/>
                <w:szCs w:val="20"/>
                <w:lang w:val="en-GB" w:eastAsia="zh-CN"/>
              </w:rPr>
              <w:t>(transport spatial data for multi-modal journey planning, EU Regional Policy spatial data needs, Copernicus spatial data needs</w:t>
            </w:r>
            <w:r w:rsidR="00AD4BB0">
              <w:rPr>
                <w:rFonts w:cs="Arial"/>
                <w:sz w:val="20"/>
                <w:szCs w:val="20"/>
                <w:lang w:val="en-GB" w:eastAsia="zh-CN"/>
              </w:rPr>
              <w:t xml:space="preserve"> …</w:t>
            </w:r>
            <w:r w:rsidR="00AD4BB0" w:rsidRPr="009536D8">
              <w:rPr>
                <w:rFonts w:cs="Arial"/>
                <w:sz w:val="20"/>
                <w:szCs w:val="20"/>
                <w:lang w:val="en-GB" w:eastAsia="zh-CN"/>
              </w:rPr>
              <w:t>)</w:t>
            </w:r>
            <w:r w:rsidR="003554D9">
              <w:rPr>
                <w:sz w:val="20"/>
                <w:szCs w:val="20"/>
              </w:rPr>
              <w:t xml:space="preserve"> as a </w:t>
            </w:r>
            <w:r w:rsidR="00AD4BB0">
              <w:rPr>
                <w:sz w:val="20"/>
                <w:szCs w:val="20"/>
              </w:rPr>
              <w:t xml:space="preserve">second </w:t>
            </w:r>
            <w:r w:rsidR="003554D9">
              <w:rPr>
                <w:sz w:val="20"/>
                <w:szCs w:val="20"/>
              </w:rPr>
              <w:t xml:space="preserve">priority </w:t>
            </w:r>
            <w:proofErr w:type="spellStart"/>
            <w:r w:rsidR="003554D9">
              <w:rPr>
                <w:sz w:val="20"/>
                <w:szCs w:val="20"/>
              </w:rPr>
              <w:t>use</w:t>
            </w:r>
            <w:proofErr w:type="spellEnd"/>
            <w:r w:rsidR="003554D9">
              <w:rPr>
                <w:sz w:val="20"/>
                <w:szCs w:val="20"/>
              </w:rPr>
              <w:t xml:space="preserve"> case </w:t>
            </w:r>
            <w:proofErr w:type="spellStart"/>
            <w:r w:rsidR="003554D9">
              <w:rPr>
                <w:sz w:val="20"/>
                <w:szCs w:val="20"/>
              </w:rPr>
              <w:t>for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the</w:t>
            </w:r>
            <w:proofErr w:type="spellEnd"/>
            <w:r w:rsidR="003554D9">
              <w:rPr>
                <w:sz w:val="20"/>
                <w:szCs w:val="20"/>
              </w:rPr>
              <w:t xml:space="preserve"> development of pan-European information </w:t>
            </w:r>
            <w:proofErr w:type="spellStart"/>
            <w:r w:rsidR="003554D9">
              <w:rPr>
                <w:sz w:val="20"/>
                <w:szCs w:val="20"/>
              </w:rPr>
              <w:t>products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based</w:t>
            </w:r>
            <w:proofErr w:type="spellEnd"/>
            <w:r w:rsidR="001027D2">
              <w:rPr>
                <w:sz w:val="20"/>
                <w:szCs w:val="20"/>
              </w:rPr>
              <w:t xml:space="preserve"> on </w:t>
            </w:r>
            <w:proofErr w:type="spellStart"/>
            <w:r w:rsidR="001027D2">
              <w:rPr>
                <w:sz w:val="20"/>
                <w:szCs w:val="20"/>
              </w:rPr>
              <w:t>themes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under</w:t>
            </w:r>
            <w:proofErr w:type="spellEnd"/>
            <w:r w:rsidR="001027D2">
              <w:rPr>
                <w:sz w:val="20"/>
                <w:szCs w:val="20"/>
              </w:rPr>
              <w:t xml:space="preserve"> Annex 1 </w:t>
            </w:r>
            <w:proofErr w:type="spellStart"/>
            <w:r w:rsidR="001027D2">
              <w:rPr>
                <w:sz w:val="20"/>
                <w:szCs w:val="20"/>
              </w:rPr>
              <w:t>and</w:t>
            </w:r>
            <w:proofErr w:type="spellEnd"/>
            <w:r w:rsidR="001027D2">
              <w:rPr>
                <w:sz w:val="20"/>
                <w:szCs w:val="20"/>
              </w:rPr>
              <w:t xml:space="preserve"> 2 of </w:t>
            </w:r>
            <w:proofErr w:type="spellStart"/>
            <w:r w:rsidR="001027D2">
              <w:rPr>
                <w:sz w:val="20"/>
                <w:szCs w:val="20"/>
              </w:rPr>
              <w:t>the</w:t>
            </w:r>
            <w:proofErr w:type="spellEnd"/>
            <w:r w:rsidR="001027D2">
              <w:rPr>
                <w:sz w:val="20"/>
                <w:szCs w:val="20"/>
              </w:rPr>
              <w:t xml:space="preserve"> INSPIRE Directive</w:t>
            </w:r>
            <w:r w:rsidR="003554D9">
              <w:rPr>
                <w:sz w:val="20"/>
                <w:szCs w:val="20"/>
              </w:rPr>
              <w:t xml:space="preserve">. </w:t>
            </w:r>
            <w:r w:rsidR="001027D2">
              <w:rPr>
                <w:sz w:val="20"/>
                <w:szCs w:val="20"/>
              </w:rPr>
              <w:t>T</w:t>
            </w:r>
            <w:r w:rsidR="003554D9">
              <w:rPr>
                <w:sz w:val="20"/>
                <w:szCs w:val="20"/>
              </w:rPr>
              <w:t xml:space="preserve">he </w:t>
            </w:r>
            <w:proofErr w:type="spellStart"/>
            <w:r w:rsidR="00AD4BB0">
              <w:rPr>
                <w:sz w:val="20"/>
                <w:szCs w:val="20"/>
              </w:rPr>
              <w:t>note</w:t>
            </w:r>
            <w:proofErr w:type="spellEnd"/>
            <w:r w:rsidR="00AD4BB0">
              <w:rPr>
                <w:sz w:val="20"/>
                <w:szCs w:val="20"/>
              </w:rPr>
              <w:t xml:space="preserve"> on “</w:t>
            </w:r>
            <w:r w:rsidR="00AD4BB0" w:rsidRPr="00AD4BB0">
              <w:rPr>
                <w:sz w:val="20"/>
                <w:szCs w:val="20"/>
              </w:rPr>
              <w:t xml:space="preserve">Priority </w:t>
            </w:r>
            <w:proofErr w:type="spellStart"/>
            <w:r w:rsidR="00AD4BB0" w:rsidRPr="00AD4BB0">
              <w:rPr>
                <w:sz w:val="20"/>
                <w:szCs w:val="20"/>
              </w:rPr>
              <w:t>Geospatial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Datasets </w:t>
            </w:r>
            <w:proofErr w:type="spellStart"/>
            <w:r w:rsidR="00AD4BB0" w:rsidRPr="00AD4BB0">
              <w:rPr>
                <w:sz w:val="20"/>
                <w:szCs w:val="20"/>
              </w:rPr>
              <w:t>for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</w:t>
            </w:r>
            <w:proofErr w:type="spellStart"/>
            <w:r w:rsidR="00AD4BB0" w:rsidRPr="00AD4BB0">
              <w:rPr>
                <w:sz w:val="20"/>
                <w:szCs w:val="20"/>
              </w:rPr>
              <w:t>the</w:t>
            </w:r>
            <w:proofErr w:type="spellEnd"/>
            <w:r w:rsidR="00AD4BB0" w:rsidRPr="00AD4BB0">
              <w:rPr>
                <w:sz w:val="20"/>
                <w:szCs w:val="20"/>
              </w:rPr>
              <w:t xml:space="preserve"> European </w:t>
            </w:r>
            <w:proofErr w:type="spellStart"/>
            <w:r w:rsidR="00AD4BB0" w:rsidRPr="00AD4BB0">
              <w:rPr>
                <w:sz w:val="20"/>
                <w:szCs w:val="20"/>
              </w:rPr>
              <w:t>Commission</w:t>
            </w:r>
            <w:proofErr w:type="spellEnd"/>
            <w:r w:rsidR="00AD4BB0">
              <w:rPr>
                <w:sz w:val="20"/>
                <w:szCs w:val="20"/>
              </w:rPr>
              <w:t>”</w:t>
            </w:r>
            <w:r w:rsidR="001027D2">
              <w:rPr>
                <w:rStyle w:val="FootnoteReference"/>
                <w:sz w:val="20"/>
                <w:szCs w:val="20"/>
              </w:rPr>
              <w:footnoteReference w:id="1"/>
            </w:r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prepared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by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several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proofErr w:type="spellStart"/>
            <w:r w:rsidR="00AD4BB0">
              <w:rPr>
                <w:sz w:val="20"/>
                <w:szCs w:val="20"/>
              </w:rPr>
              <w:t>Commission</w:t>
            </w:r>
            <w:proofErr w:type="spellEnd"/>
            <w:r w:rsidR="00AD4BB0">
              <w:rPr>
                <w:sz w:val="20"/>
                <w:szCs w:val="20"/>
              </w:rPr>
              <w:t xml:space="preserve"> </w:t>
            </w:r>
            <w:r w:rsidR="001027D2">
              <w:rPr>
                <w:sz w:val="20"/>
                <w:szCs w:val="20"/>
              </w:rPr>
              <w:t xml:space="preserve">services, </w:t>
            </w:r>
            <w:proofErr w:type="spellStart"/>
            <w:r w:rsidR="001027D2">
              <w:rPr>
                <w:sz w:val="20"/>
                <w:szCs w:val="20"/>
              </w:rPr>
              <w:t>will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be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used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to</w:t>
            </w:r>
            <w:proofErr w:type="spellEnd"/>
            <w:r w:rsidR="001027D2">
              <w:rPr>
                <w:sz w:val="20"/>
                <w:szCs w:val="20"/>
              </w:rPr>
              <w:t xml:space="preserve"> draft </w:t>
            </w:r>
            <w:r w:rsidR="00AD4BB0" w:rsidRPr="00F531A3">
              <w:rPr>
                <w:b/>
                <w:sz w:val="20"/>
                <w:szCs w:val="20"/>
              </w:rPr>
              <w:t xml:space="preserve">a </w:t>
            </w:r>
            <w:r w:rsidR="008C416D" w:rsidRPr="00F531A3">
              <w:rPr>
                <w:b/>
                <w:sz w:val="20"/>
                <w:szCs w:val="20"/>
              </w:rPr>
              <w:t xml:space="preserve">priority </w:t>
            </w:r>
            <w:r w:rsidR="00AD4BB0" w:rsidRPr="00F531A3">
              <w:rPr>
                <w:b/>
                <w:sz w:val="20"/>
                <w:szCs w:val="20"/>
              </w:rPr>
              <w:t xml:space="preserve">list of </w:t>
            </w:r>
            <w:proofErr w:type="spellStart"/>
            <w:r w:rsidR="00AD4BB0" w:rsidRPr="00F531A3">
              <w:rPr>
                <w:b/>
                <w:sz w:val="20"/>
                <w:szCs w:val="20"/>
              </w:rPr>
              <w:t>core</w:t>
            </w:r>
            <w:proofErr w:type="spellEnd"/>
            <w:r w:rsidR="00AD4BB0" w:rsidRPr="00F5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4BB0" w:rsidRPr="00F531A3">
              <w:rPr>
                <w:b/>
                <w:sz w:val="20"/>
                <w:szCs w:val="20"/>
              </w:rPr>
              <w:t>spatial</w:t>
            </w:r>
            <w:proofErr w:type="spellEnd"/>
            <w:r w:rsidR="00AD4BB0" w:rsidRPr="00F531A3">
              <w:rPr>
                <w:b/>
                <w:sz w:val="20"/>
                <w:szCs w:val="20"/>
              </w:rPr>
              <w:t xml:space="preserve"> </w:t>
            </w:r>
            <w:r w:rsidR="003554D9" w:rsidRPr="00F531A3">
              <w:rPr>
                <w:b/>
                <w:sz w:val="20"/>
                <w:szCs w:val="20"/>
              </w:rPr>
              <w:t>data</w:t>
            </w:r>
            <w:r w:rsidR="00AD4BB0" w:rsidRPr="00F531A3">
              <w:rPr>
                <w:b/>
                <w:sz w:val="20"/>
                <w:szCs w:val="20"/>
              </w:rPr>
              <w:t xml:space="preserve"> </w:t>
            </w:r>
            <w:r w:rsidR="003554D9" w:rsidRPr="00F531A3">
              <w:rPr>
                <w:b/>
                <w:sz w:val="20"/>
                <w:szCs w:val="20"/>
              </w:rPr>
              <w:t>sets</w:t>
            </w:r>
            <w:r w:rsidR="00AD4BB0">
              <w:rPr>
                <w:sz w:val="20"/>
                <w:szCs w:val="20"/>
              </w:rPr>
              <w:t xml:space="preserve">. </w:t>
            </w:r>
            <w:r w:rsidR="003554D9">
              <w:rPr>
                <w:sz w:val="20"/>
                <w:szCs w:val="20"/>
              </w:rPr>
              <w:t>Th</w:t>
            </w:r>
            <w:r w:rsidR="001027D2">
              <w:rPr>
                <w:sz w:val="20"/>
                <w:szCs w:val="20"/>
              </w:rPr>
              <w:t xml:space="preserve">e </w:t>
            </w:r>
            <w:proofErr w:type="spellStart"/>
            <w:r w:rsidR="001027D2">
              <w:rPr>
                <w:sz w:val="20"/>
                <w:szCs w:val="20"/>
              </w:rPr>
              <w:t>use</w:t>
            </w:r>
            <w:proofErr w:type="spellEnd"/>
            <w:r w:rsidR="001027D2">
              <w:rPr>
                <w:sz w:val="20"/>
                <w:szCs w:val="20"/>
              </w:rPr>
              <w:t xml:space="preserve"> of </w:t>
            </w:r>
            <w:proofErr w:type="spellStart"/>
            <w:r w:rsidR="001027D2">
              <w:rPr>
                <w:sz w:val="20"/>
                <w:szCs w:val="20"/>
              </w:rPr>
              <w:t>the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national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spatial</w:t>
            </w:r>
            <w:proofErr w:type="spellEnd"/>
            <w:r w:rsidR="001027D2">
              <w:rPr>
                <w:sz w:val="20"/>
                <w:szCs w:val="20"/>
              </w:rPr>
              <w:t xml:space="preserve"> data </w:t>
            </w:r>
            <w:proofErr w:type="spellStart"/>
            <w:r w:rsidR="001027D2">
              <w:rPr>
                <w:sz w:val="20"/>
                <w:szCs w:val="20"/>
              </w:rPr>
              <w:t>infrastructures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to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r w:rsidR="003554D9">
              <w:rPr>
                <w:sz w:val="20"/>
                <w:szCs w:val="20"/>
              </w:rPr>
              <w:t>streamlin</w:t>
            </w:r>
            <w:r w:rsidR="001027D2">
              <w:rPr>
                <w:sz w:val="20"/>
                <w:szCs w:val="20"/>
              </w:rPr>
              <w:t>e</w:t>
            </w:r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core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spatial</w:t>
            </w:r>
            <w:proofErr w:type="spellEnd"/>
            <w:r w:rsidR="001027D2">
              <w:rPr>
                <w:sz w:val="20"/>
                <w:szCs w:val="20"/>
              </w:rPr>
              <w:t xml:space="preserve"> data </w:t>
            </w:r>
            <w:proofErr w:type="spellStart"/>
            <w:r w:rsidR="001027D2">
              <w:rPr>
                <w:sz w:val="20"/>
                <w:szCs w:val="20"/>
              </w:rPr>
              <w:t>should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induce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better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integrated</w:t>
            </w:r>
            <w:proofErr w:type="spellEnd"/>
            <w:r w:rsidR="003554D9">
              <w:rPr>
                <w:sz w:val="20"/>
                <w:szCs w:val="20"/>
              </w:rPr>
              <w:t xml:space="preserve"> public eGovernment services</w:t>
            </w:r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1027D2">
              <w:rPr>
                <w:sz w:val="20"/>
                <w:szCs w:val="20"/>
              </w:rPr>
              <w:t>and</w:t>
            </w:r>
            <w:proofErr w:type="spellEnd"/>
            <w:r w:rsidR="001027D2">
              <w:rPr>
                <w:sz w:val="20"/>
                <w:szCs w:val="20"/>
              </w:rPr>
              <w:t xml:space="preserve"> </w:t>
            </w:r>
            <w:proofErr w:type="spellStart"/>
            <w:r w:rsidR="007F7202">
              <w:rPr>
                <w:sz w:val="20"/>
                <w:szCs w:val="20"/>
              </w:rPr>
              <w:t>and</w:t>
            </w:r>
            <w:proofErr w:type="spellEnd"/>
            <w:r w:rsidR="007F7202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maximiz</w:t>
            </w:r>
            <w:r w:rsidR="007F7202">
              <w:rPr>
                <w:sz w:val="20"/>
                <w:szCs w:val="20"/>
              </w:rPr>
              <w:t>e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the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reuse</w:t>
            </w:r>
            <w:proofErr w:type="spellEnd"/>
            <w:r w:rsidR="003554D9">
              <w:rPr>
                <w:sz w:val="20"/>
                <w:szCs w:val="20"/>
              </w:rPr>
              <w:t xml:space="preserve"> of </w:t>
            </w:r>
            <w:proofErr w:type="spellStart"/>
            <w:r w:rsidR="003554D9">
              <w:rPr>
                <w:sz w:val="20"/>
                <w:szCs w:val="20"/>
              </w:rPr>
              <w:t>the</w:t>
            </w:r>
            <w:proofErr w:type="spellEnd"/>
            <w:r w:rsidR="003554D9">
              <w:rPr>
                <w:sz w:val="20"/>
                <w:szCs w:val="20"/>
              </w:rPr>
              <w:t xml:space="preserve"> </w:t>
            </w:r>
            <w:proofErr w:type="spellStart"/>
            <w:r w:rsidR="003554D9">
              <w:rPr>
                <w:sz w:val="20"/>
                <w:szCs w:val="20"/>
              </w:rPr>
              <w:t>spatial</w:t>
            </w:r>
            <w:proofErr w:type="spellEnd"/>
            <w:r w:rsidR="003554D9">
              <w:rPr>
                <w:sz w:val="20"/>
                <w:szCs w:val="20"/>
              </w:rPr>
              <w:t xml:space="preserve"> information </w:t>
            </w:r>
            <w:proofErr w:type="spellStart"/>
            <w:r w:rsidR="003554D9">
              <w:rPr>
                <w:sz w:val="20"/>
                <w:szCs w:val="20"/>
              </w:rPr>
              <w:t>and</w:t>
            </w:r>
            <w:proofErr w:type="spellEnd"/>
            <w:r w:rsidR="003554D9">
              <w:rPr>
                <w:sz w:val="20"/>
                <w:szCs w:val="20"/>
              </w:rPr>
              <w:t xml:space="preserve"> services. </w:t>
            </w:r>
          </w:p>
          <w:p w14:paraId="00301A44" w14:textId="5772F497" w:rsidR="00C10118" w:rsidRPr="006849E2" w:rsidRDefault="003554D9" w:rsidP="007C4B34">
            <w:pPr>
              <w:overflowPunct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 list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should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guidance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MS on consistent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mapping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of data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objects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consistent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mapping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essential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development of pan-European data sets.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260F" w:rsidRPr="0040043A" w14:paraId="7BB7B11D" w14:textId="77777777" w:rsidTr="00271EDB">
        <w:tc>
          <w:tcPr>
            <w:tcW w:w="1951" w:type="dxa"/>
          </w:tcPr>
          <w:p w14:paraId="6441D644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Proposed</w:t>
            </w:r>
            <w:proofErr w:type="spellEnd"/>
            <w:r w:rsidRPr="000A417C">
              <w:rPr>
                <w:b/>
                <w:sz w:val="20"/>
                <w:szCs w:val="20"/>
              </w:rPr>
              <w:t xml:space="preserve"> action</w:t>
            </w:r>
          </w:p>
        </w:tc>
        <w:tc>
          <w:tcPr>
            <w:tcW w:w="7258" w:type="dxa"/>
            <w:gridSpan w:val="5"/>
          </w:tcPr>
          <w:p w14:paraId="507A3AD4" w14:textId="28310C37" w:rsidR="00AD4BB0" w:rsidRPr="007F7202" w:rsidRDefault="00AD4BB0" w:rsidP="00AD4BB0">
            <w:pPr>
              <w:rPr>
                <w:rFonts w:eastAsia="Times New Roman"/>
                <w:b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 xml:space="preserve">Member </w:t>
            </w:r>
            <w:proofErr w:type="spellStart"/>
            <w:r w:rsidRPr="007F7202">
              <w:rPr>
                <w:rFonts w:eastAsia="Times New Roman"/>
                <w:b/>
                <w:sz w:val="20"/>
                <w:szCs w:val="20"/>
              </w:rPr>
              <w:t>states</w:t>
            </w:r>
            <w:proofErr w:type="spellEnd"/>
          </w:p>
          <w:p w14:paraId="7C2FB280" w14:textId="2B46607F" w:rsidR="00AD4BB0" w:rsidRPr="007F7202" w:rsidRDefault="00AD4BB0" w:rsidP="007F720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>Short term: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make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available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theme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as is </w:t>
            </w:r>
            <w:r w:rsidR="007F7202">
              <w:rPr>
                <w:rFonts w:eastAsia="Times New Roman"/>
                <w:sz w:val="20"/>
                <w:szCs w:val="20"/>
              </w:rPr>
              <w:t xml:space="preserve">in </w:t>
            </w:r>
            <w:proofErr w:type="spellStart"/>
            <w:r w:rsid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="007F7202">
              <w:rPr>
                <w:rFonts w:eastAsia="Times New Roman"/>
                <w:sz w:val="20"/>
                <w:szCs w:val="20"/>
              </w:rPr>
              <w:t xml:space="preserve"> INSPIRE geoportal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through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INSPIRE Geoportal/Services (Metadata, View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Download services)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achieve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full European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coverage</w:t>
            </w:r>
            <w:proofErr w:type="spellEnd"/>
            <w:r w:rsidR="007F7202">
              <w:rPr>
                <w:rFonts w:eastAsia="Times New Roman"/>
                <w:sz w:val="20"/>
                <w:szCs w:val="20"/>
              </w:rPr>
              <w:t>. (20</w:t>
            </w:r>
            <w:r w:rsidR="007C4B34">
              <w:rPr>
                <w:rFonts w:eastAsia="Times New Roman"/>
                <w:sz w:val="20"/>
                <w:szCs w:val="20"/>
              </w:rPr>
              <w:t>19</w:t>
            </w:r>
            <w:r w:rsidR="007F7202">
              <w:rPr>
                <w:rFonts w:eastAsia="Times New Roman"/>
                <w:sz w:val="20"/>
                <w:szCs w:val="20"/>
              </w:rPr>
              <w:t>)</w:t>
            </w:r>
          </w:p>
          <w:p w14:paraId="4CDFD063" w14:textId="0C78E4C3" w:rsidR="00AD4BB0" w:rsidRPr="007F7202" w:rsidRDefault="00AD4BB0" w:rsidP="007F720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>Medium term: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make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available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theme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according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INSPIRE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Specifications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through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INSPIRE Geoportal/Services (Metadata, View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Download services) at full European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coverage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(</w:t>
            </w:r>
            <w:r w:rsidR="007F7202">
              <w:rPr>
                <w:rFonts w:eastAsia="Times New Roman"/>
                <w:sz w:val="20"/>
                <w:szCs w:val="20"/>
              </w:rPr>
              <w:t>202</w:t>
            </w:r>
            <w:r w:rsidR="007C4B34">
              <w:rPr>
                <w:rFonts w:eastAsia="Times New Roman"/>
                <w:sz w:val="20"/>
                <w:szCs w:val="20"/>
              </w:rPr>
              <w:t>0</w:t>
            </w:r>
            <w:r w:rsidRPr="007F7202">
              <w:rPr>
                <w:rFonts w:eastAsia="Times New Roman"/>
                <w:sz w:val="20"/>
                <w:szCs w:val="20"/>
              </w:rPr>
              <w:t>).</w:t>
            </w:r>
          </w:p>
          <w:p w14:paraId="1E8C6684" w14:textId="6523DF22" w:rsidR="007F7202" w:rsidRDefault="00AD4BB0" w:rsidP="007F720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>Long term: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make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available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enhanced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according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UN-GGIM</w:t>
            </w:r>
            <w:r w:rsidR="007F7202">
              <w:rPr>
                <w:rFonts w:eastAsia="Times New Roman"/>
                <w:sz w:val="20"/>
                <w:szCs w:val="20"/>
              </w:rPr>
              <w:t xml:space="preserve"> </w:t>
            </w:r>
            <w:r w:rsidRPr="007F7202">
              <w:rPr>
                <w:rFonts w:eastAsia="Times New Roman"/>
                <w:sz w:val="20"/>
                <w:szCs w:val="20"/>
              </w:rPr>
              <w:t xml:space="preserve">Europe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specifications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(end of 202</w:t>
            </w:r>
            <w:r w:rsidR="00633B77">
              <w:rPr>
                <w:rFonts w:eastAsia="Times New Roman"/>
                <w:sz w:val="20"/>
                <w:szCs w:val="20"/>
              </w:rPr>
              <w:t>1</w:t>
            </w:r>
            <w:r w:rsidRPr="007F7202">
              <w:rPr>
                <w:rFonts w:eastAsia="Times New Roman"/>
                <w:sz w:val="20"/>
                <w:szCs w:val="20"/>
              </w:rPr>
              <w:t>).</w:t>
            </w:r>
            <w:r w:rsidR="007F720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61E509C" w14:textId="392EEEC4" w:rsidR="00AD4BB0" w:rsidRPr="007F7202" w:rsidRDefault="00AD4BB0" w:rsidP="00AD4BB0">
            <w:pPr>
              <w:rPr>
                <w:rFonts w:eastAsia="Times New Roman"/>
                <w:b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European </w:t>
            </w:r>
            <w:proofErr w:type="spellStart"/>
            <w:r w:rsidRPr="007F7202">
              <w:rPr>
                <w:rFonts w:eastAsia="Times New Roman"/>
                <w:b/>
                <w:sz w:val="20"/>
                <w:szCs w:val="20"/>
              </w:rPr>
              <w:t>Commission</w:t>
            </w:r>
            <w:proofErr w:type="spellEnd"/>
            <w:r w:rsidRPr="007F720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F7202">
              <w:rPr>
                <w:rFonts w:eastAsia="Times New Roman"/>
                <w:b/>
                <w:sz w:val="20"/>
                <w:szCs w:val="20"/>
              </w:rPr>
              <w:t>Services</w:t>
            </w:r>
          </w:p>
          <w:p w14:paraId="640743B1" w14:textId="70CB581C" w:rsidR="00AD4BB0" w:rsidRPr="007F7202" w:rsidRDefault="00AD4BB0" w:rsidP="007F7202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>Short term: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The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Commission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provides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an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thematic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viewer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reference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datasets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support monitoring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access (2018).</w:t>
            </w:r>
          </w:p>
          <w:p w14:paraId="05BCC109" w14:textId="041EF2CE" w:rsidR="00AD4BB0" w:rsidRPr="007F7202" w:rsidRDefault="00AD4BB0" w:rsidP="007F7202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>Medium term: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The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Commission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monitors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progress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of INSPIRE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implementation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reference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data</w:t>
            </w:r>
            <w:r w:rsidR="00023E08">
              <w:rPr>
                <w:rFonts w:eastAsia="Times New Roman"/>
                <w:sz w:val="20"/>
                <w:szCs w:val="20"/>
              </w:rPr>
              <w:t>sets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by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compiling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pan European data sets </w:t>
            </w:r>
            <w:proofErr w:type="spellStart"/>
            <w:r w:rsidR="00023E08">
              <w:rPr>
                <w:rFonts w:eastAsia="Times New Roman"/>
                <w:sz w:val="20"/>
                <w:szCs w:val="20"/>
              </w:rPr>
              <w:t>according</w:t>
            </w:r>
            <w:proofErr w:type="spellEnd"/>
            <w:r w:rsidR="00023E0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="00023E0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rFonts w:eastAsia="Times New Roman"/>
                <w:sz w:val="20"/>
                <w:szCs w:val="20"/>
              </w:rPr>
              <w:t>agreed</w:t>
            </w:r>
            <w:proofErr w:type="spellEnd"/>
            <w:r w:rsidR="00023E0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rFonts w:eastAsia="Times New Roman"/>
                <w:sz w:val="20"/>
                <w:szCs w:val="20"/>
              </w:rPr>
              <w:t>Commisison</w:t>
            </w:r>
            <w:proofErr w:type="spellEnd"/>
            <w:r w:rsidR="00023E0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rFonts w:eastAsia="Times New Roman"/>
                <w:sz w:val="20"/>
                <w:szCs w:val="20"/>
              </w:rPr>
              <w:t>methodology</w:t>
            </w:r>
            <w:proofErr w:type="spellEnd"/>
            <w:r w:rsidR="00023E08">
              <w:rPr>
                <w:rFonts w:eastAsia="Times New Roman"/>
                <w:sz w:val="20"/>
                <w:szCs w:val="20"/>
              </w:rPr>
              <w:t xml:space="preserve"> in line </w:t>
            </w:r>
            <w:proofErr w:type="spellStart"/>
            <w:r w:rsidR="00023E08">
              <w:rPr>
                <w:rFonts w:eastAsia="Times New Roman"/>
                <w:sz w:val="20"/>
                <w:szCs w:val="20"/>
              </w:rPr>
              <w:t>with</w:t>
            </w:r>
            <w:proofErr w:type="spellEnd"/>
            <w:r w:rsidR="00023E0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relevant INSPIRE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Specifications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collaboration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with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Member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States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or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other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relevant stakeholders (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annually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as of 201</w:t>
            </w:r>
            <w:r w:rsidR="00B839C7">
              <w:rPr>
                <w:rFonts w:eastAsia="Times New Roman"/>
                <w:sz w:val="20"/>
                <w:szCs w:val="20"/>
              </w:rPr>
              <w:t>9</w:t>
            </w:r>
            <w:r w:rsidRPr="007F7202">
              <w:rPr>
                <w:rFonts w:eastAsia="Times New Roman"/>
                <w:sz w:val="20"/>
                <w:szCs w:val="20"/>
              </w:rPr>
              <w:t>).</w:t>
            </w:r>
          </w:p>
          <w:p w14:paraId="02C9330A" w14:textId="37A279CF" w:rsidR="003E260F" w:rsidRPr="00633B77" w:rsidRDefault="00AD4BB0" w:rsidP="00633B77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</w:rPr>
            </w:pPr>
            <w:r w:rsidRPr="007F7202">
              <w:rPr>
                <w:rFonts w:eastAsia="Times New Roman"/>
                <w:b/>
                <w:sz w:val="20"/>
                <w:szCs w:val="20"/>
              </w:rPr>
              <w:t>Long term: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As of 20</w:t>
            </w:r>
            <w:r w:rsidR="00B839C7">
              <w:rPr>
                <w:rFonts w:eastAsia="Times New Roman"/>
                <w:sz w:val="20"/>
                <w:szCs w:val="20"/>
              </w:rPr>
              <w:t>2</w:t>
            </w:r>
            <w:r w:rsidR="00633B77">
              <w:rPr>
                <w:rFonts w:eastAsia="Times New Roman"/>
                <w:sz w:val="20"/>
                <w:szCs w:val="20"/>
              </w:rPr>
              <w:t>1</w:t>
            </w:r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Commission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will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monitor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progress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of delivery of pan European data sets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according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UNGGIM Europe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 xml:space="preserve"> data </w:t>
            </w:r>
            <w:proofErr w:type="spellStart"/>
            <w:r w:rsidRPr="007F7202">
              <w:rPr>
                <w:rFonts w:eastAsia="Times New Roman"/>
                <w:sz w:val="20"/>
                <w:szCs w:val="20"/>
              </w:rPr>
              <w:t>specifications</w:t>
            </w:r>
            <w:proofErr w:type="spellEnd"/>
            <w:r w:rsidRPr="007F720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E260F" w:rsidRPr="0040043A" w14:paraId="1666F028" w14:textId="77777777" w:rsidTr="00271EDB">
        <w:tc>
          <w:tcPr>
            <w:tcW w:w="1951" w:type="dxa"/>
          </w:tcPr>
          <w:p w14:paraId="5112A55D" w14:textId="0B45A634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lastRenderedPageBreak/>
              <w:t xml:space="preserve">Links &amp; </w:t>
            </w:r>
            <w:proofErr w:type="spellStart"/>
            <w:r w:rsidRPr="000A417C">
              <w:rPr>
                <w:b/>
                <w:sz w:val="20"/>
                <w:szCs w:val="20"/>
              </w:rPr>
              <w:t>dependencies</w:t>
            </w:r>
            <w:proofErr w:type="spellEnd"/>
          </w:p>
        </w:tc>
        <w:tc>
          <w:tcPr>
            <w:tcW w:w="7258" w:type="dxa"/>
            <w:gridSpan w:val="5"/>
          </w:tcPr>
          <w:p w14:paraId="0E05F82B" w14:textId="77777777" w:rsidR="00802CA5" w:rsidRDefault="00802CA5" w:rsidP="00802C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Dependencies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1C1B376" w14:textId="6BB1EA40" w:rsidR="00802CA5" w:rsidRDefault="00B839C7" w:rsidP="00802CA5">
            <w:pPr>
              <w:pStyle w:val="ListParagraph"/>
              <w:numPr>
                <w:ilvl w:val="0"/>
                <w:numId w:val="4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UN-GGIM Europe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initiative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="00802CA5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15E872D" w14:textId="79D7ED27" w:rsidR="00B839C7" w:rsidRDefault="00B839C7" w:rsidP="00802CA5">
            <w:pPr>
              <w:pStyle w:val="ListParagraph"/>
              <w:numPr>
                <w:ilvl w:val="0"/>
                <w:numId w:val="4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MIWP Action 2019.2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Simplifying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data-service linking.</w:t>
            </w:r>
          </w:p>
          <w:p w14:paraId="5F0EB385" w14:textId="77777777" w:rsidR="00802CA5" w:rsidRDefault="00802CA5" w:rsidP="00802CA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Links:</w:t>
            </w:r>
          </w:p>
          <w:p w14:paraId="5052DFF7" w14:textId="4AD702D5" w:rsidR="003E260F" w:rsidRPr="00663006" w:rsidRDefault="00B839C7" w:rsidP="00802CA5">
            <w:pPr>
              <w:pStyle w:val="ListParagraph"/>
              <w:numPr>
                <w:ilvl w:val="0"/>
                <w:numId w:val="4"/>
              </w:numPr>
              <w:spacing w:before="80" w:after="8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MIWP Action 2016.5 – List of priority eReporting data sets </w:t>
            </w:r>
          </w:p>
        </w:tc>
      </w:tr>
      <w:tr w:rsidR="003E260F" w:rsidRPr="0040043A" w14:paraId="2FD770B6" w14:textId="77777777" w:rsidTr="00271EDB">
        <w:tc>
          <w:tcPr>
            <w:tcW w:w="1951" w:type="dxa"/>
          </w:tcPr>
          <w:p w14:paraId="0617F7D1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Organisational</w:t>
            </w:r>
            <w:proofErr w:type="spellEnd"/>
            <w:r w:rsidRPr="000A417C">
              <w:rPr>
                <w:b/>
                <w:sz w:val="20"/>
                <w:szCs w:val="20"/>
              </w:rPr>
              <w:t xml:space="preserve"> set-up</w:t>
            </w:r>
          </w:p>
        </w:tc>
        <w:tc>
          <w:tcPr>
            <w:tcW w:w="7258" w:type="dxa"/>
            <w:gridSpan w:val="5"/>
          </w:tcPr>
          <w:p w14:paraId="71D9AD2D" w14:textId="77777777" w:rsidR="00802CA5" w:rsidRDefault="00802CA5" w:rsidP="00802C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carried</w:t>
            </w:r>
            <w:proofErr w:type="spellEnd"/>
            <w:r>
              <w:rPr>
                <w:sz w:val="20"/>
                <w:szCs w:val="20"/>
              </w:rPr>
              <w:t xml:space="preserve"> out as a close </w:t>
            </w:r>
            <w:proofErr w:type="spellStart"/>
            <w:r>
              <w:rPr>
                <w:sz w:val="20"/>
                <w:szCs w:val="20"/>
              </w:rPr>
              <w:t>collaboration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between</w:t>
            </w:r>
            <w:proofErr w:type="spellEnd"/>
            <w:r>
              <w:rPr>
                <w:sz w:val="20"/>
                <w:szCs w:val="20"/>
              </w:rPr>
              <w:t xml:space="preserve"> EC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MIG members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3C9B60A5" w14:textId="3B161B42" w:rsidR="003E260F" w:rsidRPr="000A417C" w:rsidRDefault="00802CA5" w:rsidP="008F79A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dedicated</w:t>
            </w:r>
            <w:proofErr w:type="spellEnd"/>
            <w:r>
              <w:rPr>
                <w:sz w:val="20"/>
                <w:szCs w:val="20"/>
              </w:rPr>
              <w:t xml:space="preserve"> MIG </w:t>
            </w:r>
            <w:proofErr w:type="spellStart"/>
            <w:r>
              <w:rPr>
                <w:sz w:val="20"/>
                <w:szCs w:val="20"/>
              </w:rPr>
              <w:t>temporary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sub-group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consisting</w:t>
            </w:r>
            <w:proofErr w:type="spellEnd"/>
            <w:r>
              <w:rPr>
                <w:sz w:val="20"/>
                <w:szCs w:val="20"/>
              </w:rPr>
              <w:t xml:space="preserve"> of experts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countries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EU</w:t>
            </w:r>
            <w:r w:rsidR="008F79AF">
              <w:rPr>
                <w:sz w:val="20"/>
                <w:szCs w:val="20"/>
              </w:rPr>
              <w:t xml:space="preserve"> </w:t>
            </w:r>
            <w:proofErr w:type="spellStart"/>
            <w:r w:rsidR="008F79AF"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coordinated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supported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jointly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JRC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 w:rsidR="008F79AF">
              <w:rPr>
                <w:sz w:val="20"/>
                <w:szCs w:val="20"/>
              </w:rPr>
              <w:t>STAT</w:t>
            </w:r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suggested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E260F" w:rsidRPr="0040043A" w14:paraId="5E75E631" w14:textId="77777777" w:rsidTr="00271EDB">
        <w:tc>
          <w:tcPr>
            <w:tcW w:w="1951" w:type="dxa"/>
          </w:tcPr>
          <w:p w14:paraId="770BB6A1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58" w:type="dxa"/>
            <w:gridSpan w:val="5"/>
            <w:vAlign w:val="center"/>
          </w:tcPr>
          <w:p w14:paraId="176A2764" w14:textId="5D335F54" w:rsidR="003E260F" w:rsidRPr="000A417C" w:rsidRDefault="00802CA5" w:rsidP="0002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 </w:t>
            </w:r>
            <w:r w:rsidR="008F79AF">
              <w:rPr>
                <w:sz w:val="20"/>
                <w:szCs w:val="20"/>
              </w:rPr>
              <w:t xml:space="preserve">JRC </w:t>
            </w:r>
            <w:r>
              <w:rPr>
                <w:sz w:val="20"/>
                <w:szCs w:val="20"/>
              </w:rPr>
              <w:t>lead</w:t>
            </w:r>
            <w:r w:rsidR="005F2B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define</w:t>
            </w:r>
            <w:r w:rsidR="005F2B9A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target </w:t>
            </w:r>
            <w:proofErr w:type="spellStart"/>
            <w:r>
              <w:rPr>
                <w:sz w:val="20"/>
                <w:szCs w:val="20"/>
              </w:rPr>
              <w:t>areas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sz w:val="20"/>
                <w:szCs w:val="20"/>
              </w:rPr>
              <w:t>detailed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roadmap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collaboration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F79AF">
              <w:rPr>
                <w:sz w:val="20"/>
                <w:szCs w:val="20"/>
              </w:rPr>
              <w:t xml:space="preserve">DG ENV, </w:t>
            </w:r>
            <w:r w:rsidR="00023E08">
              <w:rPr>
                <w:sz w:val="20"/>
                <w:szCs w:val="20"/>
              </w:rPr>
              <w:t xml:space="preserve">ESTAT, </w:t>
            </w:r>
            <w:r>
              <w:rPr>
                <w:sz w:val="20"/>
                <w:szCs w:val="20"/>
              </w:rPr>
              <w:t xml:space="preserve">EEA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F79AF">
              <w:rPr>
                <w:sz w:val="20"/>
                <w:szCs w:val="20"/>
              </w:rPr>
              <w:t>other</w:t>
            </w:r>
            <w:proofErr w:type="spellEnd"/>
            <w:r w:rsidR="008F79AF">
              <w:rPr>
                <w:sz w:val="20"/>
                <w:szCs w:val="20"/>
              </w:rPr>
              <w:t xml:space="preserve"> </w:t>
            </w:r>
            <w:proofErr w:type="spellStart"/>
            <w:r w:rsidR="008F79AF">
              <w:rPr>
                <w:sz w:val="20"/>
                <w:szCs w:val="20"/>
              </w:rPr>
              <w:t>Commission</w:t>
            </w:r>
            <w:proofErr w:type="spellEnd"/>
            <w:r w:rsidR="008F79AF">
              <w:rPr>
                <w:sz w:val="20"/>
                <w:szCs w:val="20"/>
              </w:rPr>
              <w:t xml:space="preserve"> services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E260F" w:rsidRPr="0040043A" w14:paraId="36851085" w14:textId="77777777" w:rsidTr="00271EDB">
        <w:tc>
          <w:tcPr>
            <w:tcW w:w="1951" w:type="dxa"/>
          </w:tcPr>
          <w:p w14:paraId="6C0CCED9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t>Scope</w:t>
            </w:r>
          </w:p>
        </w:tc>
        <w:tc>
          <w:tcPr>
            <w:tcW w:w="7258" w:type="dxa"/>
            <w:gridSpan w:val="5"/>
          </w:tcPr>
          <w:p w14:paraId="42684DFF" w14:textId="66CFEB61" w:rsidR="003E260F" w:rsidRPr="000A417C" w:rsidRDefault="00802CA5" w:rsidP="0002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scope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action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area 2: </w:t>
            </w:r>
            <w:r>
              <w:rPr>
                <w:i/>
                <w:sz w:val="20"/>
                <w:szCs w:val="20"/>
              </w:rPr>
              <w:t xml:space="preserve">End user </w:t>
            </w:r>
            <w:proofErr w:type="spellStart"/>
            <w:r>
              <w:rPr>
                <w:i/>
                <w:sz w:val="20"/>
                <w:szCs w:val="20"/>
              </w:rPr>
              <w:t>applications</w:t>
            </w:r>
            <w:proofErr w:type="spellEnd"/>
            <w:r>
              <w:rPr>
                <w:i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further</w:t>
            </w:r>
            <w:proofErr w:type="spellEnd"/>
            <w:r>
              <w:rPr>
                <w:sz w:val="20"/>
                <w:szCs w:val="20"/>
              </w:rPr>
              <w:t xml:space="preserve"> a list of </w:t>
            </w:r>
            <w:proofErr w:type="spellStart"/>
            <w:r w:rsidR="005F2B9A">
              <w:rPr>
                <w:sz w:val="20"/>
                <w:szCs w:val="20"/>
              </w:rPr>
              <w:t>core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sz w:val="20"/>
                <w:szCs w:val="20"/>
              </w:rPr>
              <w:t>spatial</w:t>
            </w:r>
            <w:proofErr w:type="spellEnd"/>
            <w:r w:rsidR="005F2B9A"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support </w:t>
            </w:r>
            <w:proofErr w:type="spellStart"/>
            <w:r>
              <w:rPr>
                <w:sz w:val="20"/>
                <w:szCs w:val="20"/>
              </w:rPr>
              <w:t>MSs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making these datasets </w:t>
            </w:r>
            <w:proofErr w:type="spellStart"/>
            <w:r>
              <w:rPr>
                <w:sz w:val="20"/>
                <w:szCs w:val="20"/>
              </w:rPr>
              <w:t>accessible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through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European </w:t>
            </w:r>
            <w:proofErr w:type="spellStart"/>
            <w:r>
              <w:rPr>
                <w:sz w:val="20"/>
                <w:szCs w:val="20"/>
              </w:rPr>
              <w:t>Spatial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Infrastructure</w:t>
            </w:r>
            <w:proofErr w:type="spellEnd"/>
            <w:r>
              <w:rPr>
                <w:sz w:val="20"/>
                <w:szCs w:val="20"/>
              </w:rPr>
              <w:t xml:space="preserve"> in a step </w:t>
            </w:r>
            <w:proofErr w:type="spellStart"/>
            <w:r>
              <w:rPr>
                <w:sz w:val="20"/>
                <w:szCs w:val="20"/>
              </w:rPr>
              <w:t>wise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manner</w:t>
            </w:r>
            <w:proofErr w:type="spellEnd"/>
            <w:r>
              <w:rPr>
                <w:sz w:val="20"/>
                <w:szCs w:val="20"/>
              </w:rPr>
              <w:t xml:space="preserve">.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  <w:r w:rsidR="005F2B9A">
              <w:rPr>
                <w:sz w:val="20"/>
                <w:szCs w:val="20"/>
              </w:rPr>
              <w:t xml:space="preserve">ope is </w:t>
            </w:r>
            <w:proofErr w:type="spellStart"/>
            <w:r w:rsidR="005F2B9A">
              <w:rPr>
                <w:sz w:val="20"/>
                <w:szCs w:val="20"/>
              </w:rPr>
              <w:t>also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support </w:t>
            </w:r>
            <w:proofErr w:type="spellStart"/>
            <w:r w:rsidR="005F2B9A">
              <w:rPr>
                <w:sz w:val="20"/>
                <w:szCs w:val="20"/>
              </w:rPr>
              <w:t>for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transform</w:t>
            </w:r>
            <w:r w:rsidR="005F2B9A">
              <w:rPr>
                <w:sz w:val="20"/>
                <w:szCs w:val="20"/>
              </w:rPr>
              <w:t>ing</w:t>
            </w:r>
            <w:proofErr w:type="spellEnd"/>
            <w:r w:rsidR="005F2B9A">
              <w:rPr>
                <w:sz w:val="20"/>
                <w:szCs w:val="20"/>
              </w:rPr>
              <w:t>/</w:t>
            </w:r>
            <w:proofErr w:type="spellStart"/>
            <w:r w:rsidR="005F2B9A">
              <w:rPr>
                <w:sz w:val="20"/>
                <w:szCs w:val="20"/>
              </w:rPr>
              <w:t>mapping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sz w:val="20"/>
                <w:szCs w:val="20"/>
              </w:rPr>
              <w:t>core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sz w:val="20"/>
                <w:szCs w:val="20"/>
              </w:rPr>
              <w:t>spatial</w:t>
            </w:r>
            <w:proofErr w:type="spellEnd"/>
            <w:r w:rsidR="005F2B9A">
              <w:rPr>
                <w:sz w:val="20"/>
                <w:szCs w:val="20"/>
              </w:rPr>
              <w:t xml:space="preserve"> data sets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INSPIRE</w:t>
            </w:r>
            <w:r w:rsidR="005F2B9A">
              <w:rPr>
                <w:sz w:val="20"/>
                <w:szCs w:val="20"/>
              </w:rPr>
              <w:t xml:space="preserve"> (</w:t>
            </w:r>
            <w:proofErr w:type="spellStart"/>
            <w:r w:rsidR="005F2B9A">
              <w:rPr>
                <w:sz w:val="20"/>
                <w:szCs w:val="20"/>
              </w:rPr>
              <w:t>and</w:t>
            </w:r>
            <w:proofErr w:type="spellEnd"/>
            <w:r w:rsidR="005F2B9A">
              <w:rPr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sz w:val="20"/>
                <w:szCs w:val="20"/>
              </w:rPr>
              <w:t>by</w:t>
            </w:r>
            <w:proofErr w:type="spellEnd"/>
            <w:r w:rsidR="005F2B9A">
              <w:rPr>
                <w:sz w:val="20"/>
                <w:szCs w:val="20"/>
              </w:rPr>
              <w:t xml:space="preserve"> extension UN-GGIM </w:t>
            </w:r>
            <w:proofErr w:type="spellStart"/>
            <w:r w:rsidR="005F2B9A">
              <w:rPr>
                <w:sz w:val="20"/>
                <w:szCs w:val="20"/>
              </w:rPr>
              <w:t>core</w:t>
            </w:r>
            <w:proofErr w:type="spellEnd"/>
            <w:r w:rsidR="005F2B9A">
              <w:rPr>
                <w:sz w:val="20"/>
                <w:szCs w:val="20"/>
              </w:rPr>
              <w:t xml:space="preserve">) data </w:t>
            </w:r>
            <w:proofErr w:type="spellStart"/>
            <w:r w:rsidR="005F2B9A">
              <w:rPr>
                <w:sz w:val="20"/>
                <w:szCs w:val="20"/>
              </w:rPr>
              <w:t>specifications</w:t>
            </w:r>
            <w:proofErr w:type="spellEnd"/>
            <w:r w:rsidR="00023E08">
              <w:rPr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sz w:val="20"/>
                <w:szCs w:val="20"/>
              </w:rPr>
              <w:t>and</w:t>
            </w:r>
            <w:proofErr w:type="spellEnd"/>
            <w:r w:rsidR="00023E08">
              <w:rPr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sz w:val="20"/>
                <w:szCs w:val="20"/>
              </w:rPr>
              <w:t>compiling</w:t>
            </w:r>
            <w:proofErr w:type="spellEnd"/>
            <w:r w:rsidR="00023E08">
              <w:rPr>
                <w:sz w:val="20"/>
                <w:szCs w:val="20"/>
              </w:rPr>
              <w:t xml:space="preserve"> pan European datasets </w:t>
            </w:r>
            <w:proofErr w:type="spellStart"/>
            <w:r w:rsidR="00023E08">
              <w:rPr>
                <w:sz w:val="20"/>
                <w:szCs w:val="20"/>
              </w:rPr>
              <w:t>according</w:t>
            </w:r>
            <w:proofErr w:type="spellEnd"/>
            <w:r w:rsidR="00023E08">
              <w:rPr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sz w:val="20"/>
                <w:szCs w:val="20"/>
              </w:rPr>
              <w:t>to</w:t>
            </w:r>
            <w:proofErr w:type="spellEnd"/>
            <w:r w:rsidR="00023E08">
              <w:rPr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sz w:val="20"/>
                <w:szCs w:val="20"/>
              </w:rPr>
              <w:t>the</w:t>
            </w:r>
            <w:proofErr w:type="spellEnd"/>
            <w:r w:rsidR="00023E08">
              <w:rPr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sz w:val="20"/>
                <w:szCs w:val="20"/>
              </w:rPr>
              <w:t>agreed</w:t>
            </w:r>
            <w:proofErr w:type="spellEnd"/>
            <w:r w:rsidR="00023E08">
              <w:rPr>
                <w:sz w:val="20"/>
                <w:szCs w:val="20"/>
              </w:rPr>
              <w:t xml:space="preserve"> </w:t>
            </w:r>
            <w:proofErr w:type="spellStart"/>
            <w:r w:rsidR="00023E08">
              <w:rPr>
                <w:sz w:val="20"/>
                <w:szCs w:val="20"/>
              </w:rPr>
              <w:t>methodology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E260F" w:rsidRPr="0040043A" w14:paraId="2CCE6D57" w14:textId="77777777" w:rsidTr="00271EDB">
        <w:tc>
          <w:tcPr>
            <w:tcW w:w="1951" w:type="dxa"/>
          </w:tcPr>
          <w:p w14:paraId="29D792D6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7258" w:type="dxa"/>
            <w:gridSpan w:val="5"/>
          </w:tcPr>
          <w:p w14:paraId="40AD1928" w14:textId="77777777" w:rsidR="00307FAE" w:rsidRDefault="00802CA5" w:rsidP="00802CA5">
            <w:pPr>
              <w:pStyle w:val="ListParagraph"/>
              <w:numPr>
                <w:ilvl w:val="0"/>
                <w:numId w:val="6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Develop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list of </w:t>
            </w:r>
            <w:proofErr w:type="spellStart"/>
            <w:r w:rsidR="005F2B9A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="005F2B9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 w:rsidR="005F2B9A">
              <w:rPr>
                <w:rFonts w:eastAsia="Times New Roman"/>
                <w:sz w:val="20"/>
                <w:szCs w:val="20"/>
              </w:rPr>
              <w:t xml:space="preserve"> data sets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4EA5AB8C" w14:textId="750E21F3" w:rsidR="00802CA5" w:rsidRDefault="00307FAE" w:rsidP="00802CA5">
            <w:pPr>
              <w:pStyle w:val="ListParagraph"/>
              <w:numPr>
                <w:ilvl w:val="0"/>
                <w:numId w:val="6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Document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 sets in metadata.</w:t>
            </w:r>
            <w:r w:rsidR="00802CA5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4B2FFB0" w14:textId="76D60E5C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Make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datasets as-is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accessible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through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European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Infrastructure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following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rFonts w:eastAsia="Times New Roman"/>
                <w:sz w:val="20"/>
                <w:szCs w:val="20"/>
              </w:rPr>
              <w:t>an</w:t>
            </w:r>
            <w:proofErr w:type="spellEnd"/>
            <w:r w:rsidR="005F2B9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F2B9A">
              <w:rPr>
                <w:rFonts w:eastAsia="Times New Roman"/>
                <w:sz w:val="20"/>
                <w:szCs w:val="20"/>
              </w:rPr>
              <w:t>agreed</w:t>
            </w:r>
            <w:proofErr w:type="spellEnd"/>
            <w:r w:rsidR="005F2B9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prioritisation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2207D702" w14:textId="340626ED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provision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of data</w:t>
            </w:r>
            <w:r w:rsidR="005F2B9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sets.</w:t>
            </w:r>
          </w:p>
          <w:p w14:paraId="15F16E3B" w14:textId="5A1B38C9" w:rsidR="00023E08" w:rsidRDefault="00023E08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Develop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test 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compiling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MS datasets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pan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Eurpoean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ones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 </w:t>
            </w:r>
          </w:p>
          <w:p w14:paraId="6C891E33" w14:textId="5185D2B6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recommendations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streamlining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better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compliancy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6977E1F" w14:textId="3A397019" w:rsidR="003E260F" w:rsidRPr="00056474" w:rsidRDefault="003E260F" w:rsidP="00307FAE">
            <w:pPr>
              <w:pStyle w:val="ListParagraph"/>
              <w:spacing w:before="80" w:after="80" w:line="259" w:lineRule="auto"/>
              <w:rPr>
                <w:sz w:val="20"/>
                <w:szCs w:val="20"/>
              </w:rPr>
            </w:pPr>
          </w:p>
        </w:tc>
      </w:tr>
      <w:tr w:rsidR="003E260F" w:rsidRPr="0040043A" w14:paraId="433F5ED5" w14:textId="77777777" w:rsidTr="00271EDB">
        <w:tc>
          <w:tcPr>
            <w:tcW w:w="1951" w:type="dxa"/>
          </w:tcPr>
          <w:p w14:paraId="064562AC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7258" w:type="dxa"/>
            <w:gridSpan w:val="5"/>
          </w:tcPr>
          <w:p w14:paraId="566FFDF5" w14:textId="4EC90E5D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A list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data sets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available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collaboration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platform.</w:t>
            </w:r>
          </w:p>
          <w:p w14:paraId="216E9558" w14:textId="77777777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Identified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 sets are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discoverable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(metadata,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discovery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service)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accessible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(view,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download)  “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as is”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through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network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services</w:t>
            </w:r>
          </w:p>
          <w:p w14:paraId="2A6415AE" w14:textId="280BF3D7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Clear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communication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MS of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Commission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i</w:t>
            </w:r>
            <w:r>
              <w:rPr>
                <w:rFonts w:eastAsia="Times New Roman"/>
                <w:sz w:val="20"/>
                <w:szCs w:val="20"/>
              </w:rPr>
              <w:t xml:space="preserve">nformation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priorities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expectations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 support of </w:t>
            </w:r>
            <w:r w:rsidR="007C4B34">
              <w:rPr>
                <w:rFonts w:eastAsia="Times New Roman"/>
                <w:sz w:val="20"/>
                <w:szCs w:val="20"/>
              </w:rPr>
              <w:t>cross-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cutting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initiatives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; </w:t>
            </w:r>
          </w:p>
          <w:p w14:paraId="5CA07D57" w14:textId="3686D054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lastRenderedPageBreak/>
              <w:t>Guidance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on consistent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mapping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objects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relevant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schemas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(e.g. UN-GGIM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data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specs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1293E707" w14:textId="77777777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Improved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governance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: </w:t>
            </w:r>
          </w:p>
          <w:p w14:paraId="4F12BAE7" w14:textId="77777777" w:rsidR="00802CA5" w:rsidRDefault="00802CA5" w:rsidP="00802CA5">
            <w:pPr>
              <w:pStyle w:val="ListParagraph"/>
              <w:numPr>
                <w:ilvl w:val="1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incrementally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building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comparable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maturity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across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MS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all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components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(metadata, services,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interoperability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data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sharing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based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on a common setting, </w:t>
            </w:r>
          </w:p>
          <w:p w14:paraId="1C991513" w14:textId="403959A6" w:rsidR="00802CA5" w:rsidRDefault="00802CA5" w:rsidP="00802CA5">
            <w:pPr>
              <w:pStyle w:val="ListParagraph"/>
              <w:numPr>
                <w:ilvl w:val="1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tangible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usable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INSPIRE deliverables</w:t>
            </w:r>
          </w:p>
          <w:p w14:paraId="37CA359F" w14:textId="7E6A9A80" w:rsidR="00802CA5" w:rsidRDefault="00802CA5" w:rsidP="00802CA5">
            <w:pPr>
              <w:pStyle w:val="ListParagraph"/>
              <w:numPr>
                <w:ilvl w:val="1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monitoring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progress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on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implementation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general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C4B34">
              <w:rPr>
                <w:rFonts w:eastAsia="Times New Roman"/>
                <w:sz w:val="20"/>
                <w:szCs w:val="20"/>
              </w:rPr>
              <w:t xml:space="preserve">availability of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spatial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data </w:t>
            </w:r>
            <w:r>
              <w:rPr>
                <w:rFonts w:eastAsia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specific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C4AC2D4" w14:textId="3EA558E4" w:rsidR="00023E08" w:rsidRDefault="00023E08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Techncail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documentation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creating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pan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Euroepan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datasets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from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infrastructure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6377E5AF" w14:textId="615E5E0B" w:rsidR="00802CA5" w:rsidRDefault="00802CA5" w:rsidP="00802CA5">
            <w:pPr>
              <w:pStyle w:val="ListParagraph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promote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reus</w:t>
            </w:r>
            <w:r w:rsidR="007C4B34">
              <w:rPr>
                <w:rFonts w:eastAsia="Times New Roman"/>
                <w:sz w:val="20"/>
                <w:szCs w:val="20"/>
              </w:rPr>
              <w:t>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="007C4B34">
              <w:rPr>
                <w:rFonts w:eastAsia="Times New Roman"/>
                <w:sz w:val="20"/>
                <w:szCs w:val="20"/>
              </w:rPr>
              <w:t xml:space="preserve"> INSPIRE </w:t>
            </w:r>
            <w:proofErr w:type="spellStart"/>
            <w:r w:rsidR="007C4B34">
              <w:rPr>
                <w:rFonts w:eastAsia="Times New Roman"/>
                <w:sz w:val="20"/>
                <w:szCs w:val="20"/>
              </w:rPr>
              <w:t>infrastructure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3A2BF413" w14:textId="28FD32C3" w:rsidR="003E260F" w:rsidRPr="00083D31" w:rsidRDefault="00802CA5" w:rsidP="007C4B3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prioritised</w:t>
            </w:r>
            <w:proofErr w:type="spellEnd"/>
            <w:r>
              <w:rPr>
                <w:sz w:val="20"/>
                <w:szCs w:val="20"/>
              </w:rPr>
              <w:t xml:space="preserve"> list of </w:t>
            </w:r>
            <w:proofErr w:type="spellStart"/>
            <w:r w:rsidR="007C4B34">
              <w:rPr>
                <w:sz w:val="20"/>
                <w:szCs w:val="20"/>
              </w:rPr>
              <w:t>core</w:t>
            </w:r>
            <w:proofErr w:type="spellEnd"/>
            <w:r w:rsidR="007C4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data sets does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change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existing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provisions</w:t>
            </w:r>
            <w:proofErr w:type="spellEnd"/>
            <w:r>
              <w:rPr>
                <w:sz w:val="20"/>
                <w:szCs w:val="20"/>
              </w:rPr>
              <w:t xml:space="preserve"> or deadlines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INSPIRE Directive. It </w:t>
            </w:r>
            <w:proofErr w:type="spellStart"/>
            <w:r>
              <w:rPr>
                <w:sz w:val="20"/>
                <w:szCs w:val="20"/>
              </w:rPr>
              <w:t>aims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coordinating</w:t>
            </w:r>
            <w:proofErr w:type="spellEnd"/>
            <w:r>
              <w:rPr>
                <w:sz w:val="20"/>
                <w:szCs w:val="20"/>
              </w:rPr>
              <w:t xml:space="preserve"> MS INSPIRE </w:t>
            </w:r>
            <w:proofErr w:type="spellStart"/>
            <w:r>
              <w:rPr>
                <w:sz w:val="20"/>
                <w:szCs w:val="20"/>
              </w:rPr>
              <w:t>implementation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efforts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towards</w:t>
            </w:r>
            <w:proofErr w:type="spellEnd"/>
            <w:r>
              <w:rPr>
                <w:sz w:val="20"/>
                <w:szCs w:val="20"/>
              </w:rPr>
              <w:t xml:space="preserve"> deliverables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serve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existing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priority EC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case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end-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E260F" w:rsidRPr="00094A83" w14:paraId="6824B80E" w14:textId="77777777" w:rsidTr="00271EDB">
        <w:tc>
          <w:tcPr>
            <w:tcW w:w="1951" w:type="dxa"/>
          </w:tcPr>
          <w:p w14:paraId="7125FABA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lastRenderedPageBreak/>
              <w:t>Proposed</w:t>
            </w:r>
            <w:proofErr w:type="spellEnd"/>
            <w:r w:rsidRPr="000A417C">
              <w:rPr>
                <w:b/>
                <w:sz w:val="20"/>
                <w:szCs w:val="20"/>
              </w:rPr>
              <w:t xml:space="preserve"> Impact</w:t>
            </w:r>
          </w:p>
        </w:tc>
        <w:tc>
          <w:tcPr>
            <w:tcW w:w="7258" w:type="dxa"/>
            <w:gridSpan w:val="5"/>
            <w:vAlign w:val="center"/>
          </w:tcPr>
          <w:p w14:paraId="59109A3E" w14:textId="6DACA12F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11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Technical </w:t>
            </w:r>
            <w:proofErr w:type="spellStart"/>
            <w:proofErr w:type="gramStart"/>
            <w:r w:rsidR="003E260F" w:rsidRPr="000A417C">
              <w:rPr>
                <w:sz w:val="20"/>
                <w:szCs w:val="20"/>
              </w:rPr>
              <w:t>Adjustment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/</w:t>
            </w:r>
            <w:proofErr w:type="gramEnd"/>
            <w:r w:rsidR="003E260F" w:rsidRPr="000A417C">
              <w:rPr>
                <w:sz w:val="20"/>
                <w:szCs w:val="20"/>
              </w:rPr>
              <w:t xml:space="preserve"> Bug Fixing</w:t>
            </w:r>
          </w:p>
          <w:p w14:paraId="6CFA3348" w14:textId="179172C1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74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Technical </w:t>
            </w:r>
            <w:proofErr w:type="spellStart"/>
            <w:proofErr w:type="gramStart"/>
            <w:r w:rsidR="003E260F" w:rsidRPr="000A417C">
              <w:rPr>
                <w:sz w:val="20"/>
                <w:szCs w:val="20"/>
              </w:rPr>
              <w:t>Improvement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/</w:t>
            </w:r>
            <w:proofErr w:type="gramEnd"/>
            <w:r w:rsidR="003E260F" w:rsidRPr="000A417C">
              <w:rPr>
                <w:sz w:val="20"/>
                <w:szCs w:val="20"/>
              </w:rPr>
              <w:t xml:space="preserve"> Development</w:t>
            </w:r>
          </w:p>
          <w:p w14:paraId="558E4D89" w14:textId="77777777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4541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Practical Support </w:t>
            </w:r>
            <w:proofErr w:type="spellStart"/>
            <w:r w:rsidR="003E260F" w:rsidRPr="000A417C">
              <w:rPr>
                <w:sz w:val="20"/>
                <w:szCs w:val="20"/>
              </w:rPr>
              <w:t>for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Implementing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Process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</w:p>
          <w:p w14:paraId="4F416EB0" w14:textId="77777777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6653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</w:t>
            </w:r>
            <w:proofErr w:type="spellStart"/>
            <w:r w:rsidR="003E260F" w:rsidRPr="000A417C">
              <w:rPr>
                <w:sz w:val="20"/>
                <w:szCs w:val="20"/>
              </w:rPr>
              <w:t>Cost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Reducing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Effect </w:t>
            </w:r>
            <w:proofErr w:type="spellStart"/>
            <w:r w:rsidR="003E260F" w:rsidRPr="000A417C">
              <w:rPr>
                <w:sz w:val="20"/>
                <w:szCs w:val="20"/>
              </w:rPr>
              <w:t>for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Implementing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Process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</w:p>
          <w:p w14:paraId="1C4041B0" w14:textId="15FF65A0" w:rsidR="003E260F" w:rsidRPr="000A417C" w:rsidRDefault="00F531A3" w:rsidP="00271EDB">
            <w:pPr>
              <w:spacing w:before="80" w:after="80" w:line="259" w:lineRule="auto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839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Direct Support on Policy-Making / - </w:t>
            </w:r>
            <w:proofErr w:type="spellStart"/>
            <w:r w:rsidR="003E260F" w:rsidRPr="000A417C">
              <w:rPr>
                <w:sz w:val="20"/>
                <w:szCs w:val="20"/>
              </w:rPr>
              <w:t>Activities</w:t>
            </w:r>
            <w:proofErr w:type="spellEnd"/>
          </w:p>
        </w:tc>
      </w:tr>
      <w:tr w:rsidR="003E260F" w:rsidRPr="0040043A" w14:paraId="387D725A" w14:textId="77777777" w:rsidTr="00271EDB">
        <w:trPr>
          <w:trHeight w:val="285"/>
        </w:trPr>
        <w:tc>
          <w:tcPr>
            <w:tcW w:w="1951" w:type="dxa"/>
            <w:vMerge w:val="restart"/>
          </w:tcPr>
          <w:p w14:paraId="63B5D6FD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7258" w:type="dxa"/>
            <w:gridSpan w:val="5"/>
            <w:tcBorders>
              <w:bottom w:val="single" w:sz="4" w:space="0" w:color="auto"/>
            </w:tcBorders>
            <w:vAlign w:val="center"/>
          </w:tcPr>
          <w:p w14:paraId="520582F2" w14:textId="77777777" w:rsidR="003E260F" w:rsidRPr="007F7F01" w:rsidRDefault="003E260F" w:rsidP="00271EDB">
            <w:pPr>
              <w:spacing w:before="80" w:after="80" w:line="259" w:lineRule="auto"/>
              <w:rPr>
                <w:rFonts w:eastAsia="Arial" w:cs="Arial"/>
                <w:sz w:val="20"/>
                <w:szCs w:val="20"/>
              </w:rPr>
            </w:pPr>
            <w:r w:rsidRPr="000A417C">
              <w:rPr>
                <w:rFonts w:eastAsia="Arial" w:cs="Arial"/>
                <w:sz w:val="20"/>
                <w:szCs w:val="20"/>
              </w:rPr>
              <w:t xml:space="preserve">Date of Kick-off: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January</w:t>
            </w:r>
            <w:proofErr w:type="spellEnd"/>
            <w:r w:rsidRPr="00B45D9C">
              <w:rPr>
                <w:rFonts w:eastAsia="Arial" w:cs="Arial"/>
                <w:sz w:val="20"/>
                <w:szCs w:val="20"/>
              </w:rPr>
              <w:t xml:space="preserve"> 201</w:t>
            </w: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</w:tr>
      <w:tr w:rsidR="003E260F" w:rsidRPr="0040043A" w14:paraId="5014F25A" w14:textId="77777777" w:rsidTr="00271EDB">
        <w:trPr>
          <w:trHeight w:val="42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3F98CAE0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798" w14:textId="3CE033D6" w:rsidR="00802CA5" w:rsidRPr="000A417C" w:rsidRDefault="00802CA5" w:rsidP="00C3496A">
            <w:pPr>
              <w:spacing w:before="80" w:after="80" w:line="259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Every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year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process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to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identify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, analyse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and</w:t>
            </w:r>
            <w:proofErr w:type="spellEnd"/>
            <w:r w:rsidR="007C4B3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implement</w:t>
            </w:r>
            <w:proofErr w:type="spellEnd"/>
            <w:r w:rsidR="007C4B34">
              <w:rPr>
                <w:rFonts w:eastAsia="Arial" w:cs="Arial"/>
                <w:sz w:val="20"/>
                <w:szCs w:val="20"/>
              </w:rPr>
              <w:t xml:space="preserve"> a set of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core</w:t>
            </w:r>
            <w:proofErr w:type="spellEnd"/>
            <w:r w:rsidR="007C4B3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spatial</w:t>
            </w:r>
            <w:proofErr w:type="spellEnd"/>
            <w:r w:rsidR="007C4B34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data is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reviewed</w:t>
            </w:r>
            <w:proofErr w:type="spellEnd"/>
            <w:r w:rsidR="007C4B34">
              <w:rPr>
                <w:rFonts w:eastAsia="Arial" w:cs="Arial"/>
                <w:sz w:val="20"/>
                <w:szCs w:val="20"/>
              </w:rPr>
              <w:t xml:space="preserve"> </w:t>
            </w:r>
            <w:r w:rsidR="00C3496A">
              <w:rPr>
                <w:rFonts w:eastAsia="Arial" w:cs="Arial"/>
                <w:sz w:val="20"/>
                <w:szCs w:val="20"/>
              </w:rPr>
              <w:t xml:space="preserve">in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collaborati</w:t>
            </w:r>
            <w:r w:rsidR="00C3496A">
              <w:rPr>
                <w:rFonts w:eastAsia="Arial" w:cs="Arial"/>
                <w:sz w:val="20"/>
                <w:szCs w:val="20"/>
              </w:rPr>
              <w:t>on</w:t>
            </w:r>
            <w:proofErr w:type="spellEnd"/>
            <w:r w:rsidR="007C4B3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7C4B34">
              <w:rPr>
                <w:rFonts w:eastAsia="Arial" w:cs="Arial"/>
                <w:sz w:val="20"/>
                <w:szCs w:val="20"/>
              </w:rPr>
              <w:t>between</w:t>
            </w:r>
            <w:proofErr w:type="spellEnd"/>
            <w:r w:rsidR="00C3496A">
              <w:rPr>
                <w:rFonts w:eastAsia="Arial" w:cs="Arial"/>
                <w:sz w:val="20"/>
                <w:szCs w:val="20"/>
              </w:rPr>
              <w:t xml:space="preserve"> EU </w:t>
            </w:r>
            <w:proofErr w:type="spellStart"/>
            <w:r w:rsidR="00C3496A">
              <w:rPr>
                <w:rFonts w:eastAsia="Arial" w:cs="Arial"/>
                <w:sz w:val="20"/>
                <w:szCs w:val="20"/>
              </w:rPr>
              <w:t>institutions</w:t>
            </w:r>
            <w:proofErr w:type="spellEnd"/>
            <w:r w:rsidR="00C3496A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C3496A">
              <w:rPr>
                <w:rFonts w:eastAsia="Arial" w:cs="Arial"/>
                <w:sz w:val="20"/>
                <w:szCs w:val="20"/>
              </w:rPr>
              <w:t>and</w:t>
            </w:r>
            <w:proofErr w:type="spellEnd"/>
            <w:r w:rsidR="00C3496A">
              <w:rPr>
                <w:rFonts w:eastAsia="Arial" w:cs="Arial"/>
                <w:sz w:val="20"/>
                <w:szCs w:val="20"/>
              </w:rPr>
              <w:t xml:space="preserve"> Member </w:t>
            </w:r>
            <w:proofErr w:type="spellStart"/>
            <w:r w:rsidR="00C3496A">
              <w:rPr>
                <w:rFonts w:eastAsia="Arial" w:cs="Arial"/>
                <w:sz w:val="20"/>
                <w:szCs w:val="20"/>
              </w:rPr>
              <w:t>States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3E260F" w:rsidRPr="0040043A" w14:paraId="1868E0EE" w14:textId="77777777" w:rsidTr="00271EDB">
        <w:tc>
          <w:tcPr>
            <w:tcW w:w="1951" w:type="dxa"/>
          </w:tcPr>
          <w:p w14:paraId="4EA24242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Required</w:t>
            </w:r>
            <w:proofErr w:type="spellEnd"/>
            <w:r w:rsidRPr="000A417C">
              <w:rPr>
                <w:b/>
                <w:sz w:val="20"/>
                <w:szCs w:val="20"/>
              </w:rPr>
              <w:t xml:space="preserve"> human resources </w:t>
            </w:r>
            <w:proofErr w:type="spellStart"/>
            <w:r w:rsidRPr="000A417C">
              <w:rPr>
                <w:b/>
                <w:sz w:val="20"/>
                <w:szCs w:val="20"/>
              </w:rPr>
              <w:t>and</w:t>
            </w:r>
            <w:proofErr w:type="spellEnd"/>
            <w:r w:rsidRPr="000A417C">
              <w:rPr>
                <w:b/>
                <w:sz w:val="20"/>
                <w:szCs w:val="20"/>
              </w:rPr>
              <w:t xml:space="preserve"> expertise</w:t>
            </w:r>
          </w:p>
        </w:tc>
        <w:tc>
          <w:tcPr>
            <w:tcW w:w="7258" w:type="dxa"/>
            <w:gridSpan w:val="5"/>
          </w:tcPr>
          <w:p w14:paraId="41D4B678" w14:textId="6500A896" w:rsidR="00802CA5" w:rsidRPr="000A417C" w:rsidRDefault="003E260F" w:rsidP="00C3496A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 w:rsidR="00167314">
              <w:rPr>
                <w:sz w:val="20"/>
                <w:szCs w:val="20"/>
              </w:rPr>
              <w:t>and</w:t>
            </w:r>
            <w:proofErr w:type="spellEnd"/>
            <w:r w:rsidR="00167314">
              <w:rPr>
                <w:sz w:val="20"/>
                <w:szCs w:val="20"/>
              </w:rPr>
              <w:t xml:space="preserve"> </w:t>
            </w:r>
            <w:proofErr w:type="spellStart"/>
            <w:r w:rsidR="00167314">
              <w:rPr>
                <w:sz w:val="20"/>
                <w:szCs w:val="20"/>
              </w:rPr>
              <w:t>Commission</w:t>
            </w:r>
            <w:proofErr w:type="spellEnd"/>
            <w:r w:rsidR="00167314">
              <w:rPr>
                <w:sz w:val="20"/>
                <w:szCs w:val="20"/>
              </w:rPr>
              <w:t xml:space="preserve"> </w:t>
            </w:r>
            <w:r w:rsidR="00C3496A">
              <w:rPr>
                <w:sz w:val="20"/>
                <w:szCs w:val="20"/>
              </w:rPr>
              <w:t>(</w:t>
            </w:r>
            <w:proofErr w:type="spellStart"/>
            <w:r w:rsidR="00C3496A">
              <w:rPr>
                <w:sz w:val="20"/>
                <w:szCs w:val="20"/>
              </w:rPr>
              <w:t>spatial</w:t>
            </w:r>
            <w:proofErr w:type="spellEnd"/>
            <w:r w:rsidR="00C3496A">
              <w:rPr>
                <w:sz w:val="20"/>
                <w:szCs w:val="20"/>
              </w:rPr>
              <w:t xml:space="preserve">) data experts in </w:t>
            </w:r>
            <w:proofErr w:type="spellStart"/>
            <w:r w:rsidR="00C3496A">
              <w:rPr>
                <w:sz w:val="20"/>
                <w:szCs w:val="20"/>
              </w:rPr>
              <w:t>the</w:t>
            </w:r>
            <w:proofErr w:type="spellEnd"/>
            <w:r w:rsidR="00C3496A">
              <w:rPr>
                <w:sz w:val="20"/>
                <w:szCs w:val="20"/>
              </w:rPr>
              <w:t xml:space="preserve"> relevant fields </w:t>
            </w:r>
            <w:proofErr w:type="spellStart"/>
            <w:r w:rsidR="00C3496A">
              <w:rPr>
                <w:sz w:val="20"/>
                <w:szCs w:val="20"/>
              </w:rPr>
              <w:t>supported</w:t>
            </w:r>
            <w:proofErr w:type="spellEnd"/>
            <w:r w:rsidR="00C3496A">
              <w:rPr>
                <w:sz w:val="20"/>
                <w:szCs w:val="20"/>
              </w:rPr>
              <w:t xml:space="preserve"> </w:t>
            </w:r>
            <w:proofErr w:type="spellStart"/>
            <w:r w:rsidR="00C3496A">
              <w:rPr>
                <w:sz w:val="20"/>
                <w:szCs w:val="20"/>
              </w:rPr>
              <w:t>by</w:t>
            </w:r>
            <w:proofErr w:type="spellEnd"/>
            <w:r w:rsidR="00C3496A">
              <w:rPr>
                <w:sz w:val="20"/>
                <w:szCs w:val="20"/>
              </w:rPr>
              <w:t xml:space="preserve"> </w:t>
            </w:r>
            <w:proofErr w:type="spellStart"/>
            <w:r w:rsidR="00C3496A">
              <w:rPr>
                <w:sz w:val="20"/>
                <w:szCs w:val="20"/>
              </w:rPr>
              <w:t>the</w:t>
            </w:r>
            <w:proofErr w:type="spellEnd"/>
            <w:r w:rsidR="00C3496A">
              <w:rPr>
                <w:sz w:val="20"/>
                <w:szCs w:val="20"/>
              </w:rPr>
              <w:t xml:space="preserve"> </w:t>
            </w:r>
            <w:proofErr w:type="spellStart"/>
            <w:r w:rsidR="00C3496A">
              <w:rPr>
                <w:sz w:val="20"/>
                <w:szCs w:val="20"/>
              </w:rPr>
              <w:t>core</w:t>
            </w:r>
            <w:proofErr w:type="spellEnd"/>
            <w:r w:rsidR="00C3496A">
              <w:rPr>
                <w:sz w:val="20"/>
                <w:szCs w:val="20"/>
              </w:rPr>
              <w:t xml:space="preserve"> data sets (</w:t>
            </w:r>
            <w:proofErr w:type="spellStart"/>
            <w:r w:rsidR="00C3496A">
              <w:rPr>
                <w:sz w:val="20"/>
                <w:szCs w:val="20"/>
              </w:rPr>
              <w:t>Mobility</w:t>
            </w:r>
            <w:proofErr w:type="spellEnd"/>
            <w:r w:rsidR="00C3496A">
              <w:rPr>
                <w:sz w:val="20"/>
                <w:szCs w:val="20"/>
              </w:rPr>
              <w:t xml:space="preserve">, Energy, Smart </w:t>
            </w:r>
            <w:proofErr w:type="spellStart"/>
            <w:r w:rsidR="00C3496A">
              <w:rPr>
                <w:sz w:val="20"/>
                <w:szCs w:val="20"/>
              </w:rPr>
              <w:t>Cities</w:t>
            </w:r>
            <w:proofErr w:type="spellEnd"/>
            <w:r w:rsidR="00C3496A">
              <w:rPr>
                <w:sz w:val="20"/>
                <w:szCs w:val="20"/>
              </w:rPr>
              <w:t xml:space="preserve"> …).</w:t>
            </w:r>
          </w:p>
        </w:tc>
      </w:tr>
      <w:tr w:rsidR="003E260F" w:rsidRPr="0040043A" w14:paraId="7024E92D" w14:textId="77777777" w:rsidTr="00271EDB">
        <w:tc>
          <w:tcPr>
            <w:tcW w:w="1951" w:type="dxa"/>
          </w:tcPr>
          <w:p w14:paraId="0A89BAF1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proofErr w:type="spellStart"/>
            <w:r w:rsidRPr="000A417C">
              <w:rPr>
                <w:b/>
                <w:sz w:val="20"/>
                <w:szCs w:val="20"/>
              </w:rPr>
              <w:t>Required</w:t>
            </w:r>
            <w:proofErr w:type="spellEnd"/>
            <w:r w:rsidRPr="000A417C">
              <w:rPr>
                <w:b/>
                <w:sz w:val="20"/>
                <w:szCs w:val="20"/>
              </w:rPr>
              <w:t xml:space="preserve"> financial resources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possible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7258" w:type="dxa"/>
            <w:gridSpan w:val="5"/>
          </w:tcPr>
          <w:p w14:paraId="4BB00178" w14:textId="77777777" w:rsidR="003E260F" w:rsidRDefault="003E260F" w:rsidP="00271EDB">
            <w:pPr>
              <w:spacing w:before="80" w:after="80" w:line="259" w:lineRule="auto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F</w:t>
            </w:r>
            <w:r w:rsidRPr="0074779A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und</w: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ing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779A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by</w:t>
            </w:r>
            <w:proofErr w:type="spellEnd"/>
            <w:r w:rsidRPr="0074779A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DG ENV</w: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through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Administrative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Arrangement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with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JRC.</w:t>
            </w:r>
          </w:p>
          <w:p w14:paraId="6B9B3956" w14:textId="09BBC6D2" w:rsidR="00802CA5" w:rsidRDefault="00802CA5" w:rsidP="00271EDB">
            <w:pPr>
              <w:spacing w:before="80" w:after="80" w:line="259" w:lineRule="auto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  <w:r>
              <w:rPr>
                <w:sz w:val="20"/>
                <w:szCs w:val="20"/>
              </w:rPr>
              <w:t xml:space="preserve"> financial resources </w:t>
            </w:r>
            <w:proofErr w:type="spellStart"/>
            <w:r>
              <w:rPr>
                <w:sz w:val="20"/>
                <w:szCs w:val="20"/>
              </w:rPr>
              <w:t>may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re-</w:t>
            </w:r>
            <w:proofErr w:type="spellStart"/>
            <w:r>
              <w:rPr>
                <w:sz w:val="20"/>
                <w:szCs w:val="20"/>
              </w:rPr>
              <w:t>imbursement</w:t>
            </w:r>
            <w:proofErr w:type="spellEnd"/>
            <w:r>
              <w:rPr>
                <w:sz w:val="20"/>
                <w:szCs w:val="20"/>
              </w:rPr>
              <w:t xml:space="preserve"> of experts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face-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-face workshops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/or </w:t>
            </w:r>
            <w:proofErr w:type="spellStart"/>
            <w:r>
              <w:rPr>
                <w:sz w:val="20"/>
                <w:szCs w:val="20"/>
              </w:rPr>
              <w:t>feasibility</w:t>
            </w:r>
            <w:proofErr w:type="spellEnd"/>
            <w:r>
              <w:rPr>
                <w:sz w:val="20"/>
                <w:szCs w:val="20"/>
              </w:rPr>
              <w:t xml:space="preserve"> studies, </w:t>
            </w:r>
            <w:proofErr w:type="spellStart"/>
            <w:proofErr w:type="gram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gramEnd"/>
            <w:r>
              <w:rPr>
                <w:sz w:val="20"/>
                <w:szCs w:val="20"/>
              </w:rPr>
              <w:t xml:space="preserve"> benefit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regarding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proposal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streamlining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  <w:r>
              <w:rPr>
                <w:sz w:val="20"/>
                <w:szCs w:val="20"/>
              </w:rPr>
              <w:t xml:space="preserve"> support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mapping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 xml:space="preserve"> review.</w:t>
            </w:r>
          </w:p>
          <w:p w14:paraId="784452AF" w14:textId="533B63A9" w:rsidR="00167314" w:rsidRPr="00167314" w:rsidRDefault="00167314" w:rsidP="00271EDB">
            <w:pPr>
              <w:spacing w:before="80" w:after="80" w:line="259" w:lineRule="auto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Explore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additional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funding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by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horizontal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funding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instruments</w:t>
            </w:r>
            <w:proofErr w:type="spellEnd"/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(ISA², Life …). </w:t>
            </w:r>
          </w:p>
        </w:tc>
      </w:tr>
      <w:tr w:rsidR="003E260F" w:rsidRPr="0040043A" w14:paraId="55733D96" w14:textId="77777777" w:rsidTr="00271EDB">
        <w:tc>
          <w:tcPr>
            <w:tcW w:w="1951" w:type="dxa"/>
          </w:tcPr>
          <w:p w14:paraId="531248E0" w14:textId="77777777" w:rsidR="003E260F" w:rsidRPr="000A417C" w:rsidRDefault="003E260F" w:rsidP="00271ED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0A417C">
              <w:rPr>
                <w:b/>
                <w:sz w:val="20"/>
                <w:szCs w:val="20"/>
              </w:rPr>
              <w:t>Risk factors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F829802" w14:textId="77777777" w:rsidR="003E260F" w:rsidRPr="000A417C" w:rsidRDefault="003E260F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r w:rsidRPr="000A417C">
              <w:rPr>
                <w:sz w:val="20"/>
                <w:szCs w:val="20"/>
              </w:rPr>
              <w:t xml:space="preserve">Overall </w:t>
            </w:r>
            <w:proofErr w:type="gramStart"/>
            <w:r w:rsidRPr="000A417C">
              <w:rPr>
                <w:sz w:val="20"/>
                <w:szCs w:val="20"/>
              </w:rPr>
              <w:t>risk level</w:t>
            </w:r>
            <w:proofErr w:type="gramEnd"/>
            <w:r w:rsidRPr="000A417C">
              <w:rPr>
                <w:sz w:val="20"/>
                <w:szCs w:val="20"/>
              </w:rPr>
              <w:t xml:space="preserve"> of </w:t>
            </w:r>
            <w:proofErr w:type="spellStart"/>
            <w:r w:rsidRPr="000A417C">
              <w:rPr>
                <w:sz w:val="20"/>
                <w:szCs w:val="20"/>
              </w:rPr>
              <w:t>the</w:t>
            </w:r>
            <w:proofErr w:type="spellEnd"/>
            <w:r w:rsidRPr="000A417C">
              <w:rPr>
                <w:sz w:val="20"/>
                <w:szCs w:val="20"/>
              </w:rPr>
              <w:t xml:space="preserve"> action</w:t>
            </w:r>
          </w:p>
          <w:p w14:paraId="500E6E60" w14:textId="77777777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2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High</w:t>
            </w:r>
          </w:p>
          <w:p w14:paraId="54AD3735" w14:textId="77777777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8192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Medium</w:t>
            </w:r>
          </w:p>
          <w:p w14:paraId="142BE065" w14:textId="77777777" w:rsidR="003E260F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8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0F" w:rsidRPr="000A41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Low</w:t>
            </w:r>
          </w:p>
          <w:p w14:paraId="724C4AFF" w14:textId="77777777" w:rsidR="003E260F" w:rsidRPr="005251D2" w:rsidRDefault="003E260F" w:rsidP="00271EDB">
            <w:pPr>
              <w:tabs>
                <w:tab w:val="left" w:pos="1394"/>
              </w:tabs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415" w:type="dxa"/>
            <w:gridSpan w:val="3"/>
            <w:tcBorders>
              <w:left w:val="single" w:sz="4" w:space="0" w:color="auto"/>
            </w:tcBorders>
          </w:tcPr>
          <w:p w14:paraId="73E5FD56" w14:textId="77777777" w:rsidR="003E260F" w:rsidRPr="000A417C" w:rsidRDefault="003E260F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r w:rsidRPr="000A417C">
              <w:rPr>
                <w:sz w:val="20"/>
                <w:szCs w:val="20"/>
              </w:rPr>
              <w:t xml:space="preserve">Risk factors </w:t>
            </w:r>
            <w:proofErr w:type="spellStart"/>
            <w:r w:rsidRPr="000A417C">
              <w:rPr>
                <w:sz w:val="20"/>
                <w:szCs w:val="20"/>
              </w:rPr>
              <w:t>to</w:t>
            </w:r>
            <w:proofErr w:type="spellEnd"/>
            <w:r w:rsidRPr="000A417C">
              <w:rPr>
                <w:sz w:val="20"/>
                <w:szCs w:val="20"/>
              </w:rPr>
              <w:t xml:space="preserve"> </w:t>
            </w:r>
            <w:proofErr w:type="spellStart"/>
            <w:r w:rsidRPr="000A417C">
              <w:rPr>
                <w:sz w:val="20"/>
                <w:szCs w:val="20"/>
              </w:rPr>
              <w:t>be</w:t>
            </w:r>
            <w:proofErr w:type="spellEnd"/>
            <w:r w:rsidRPr="000A417C">
              <w:rPr>
                <w:sz w:val="20"/>
                <w:szCs w:val="20"/>
              </w:rPr>
              <w:t xml:space="preserve"> </w:t>
            </w:r>
            <w:proofErr w:type="spellStart"/>
            <w:r w:rsidRPr="000A417C">
              <w:rPr>
                <w:sz w:val="20"/>
                <w:szCs w:val="20"/>
              </w:rPr>
              <w:t>considered</w:t>
            </w:r>
            <w:proofErr w:type="spellEnd"/>
          </w:p>
          <w:p w14:paraId="5934D13D" w14:textId="33FA8535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6085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1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Missing Resources </w:t>
            </w:r>
          </w:p>
          <w:p w14:paraId="5A4BFAE2" w14:textId="05C92039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1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High </w:t>
            </w:r>
            <w:proofErr w:type="spellStart"/>
            <w:r w:rsidR="003E260F" w:rsidRPr="000A417C">
              <w:rPr>
                <w:sz w:val="20"/>
                <w:szCs w:val="20"/>
              </w:rPr>
              <w:t>Complexity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</w:p>
          <w:p w14:paraId="2FE49542" w14:textId="113CBA57" w:rsidR="003E260F" w:rsidRPr="000A417C" w:rsidRDefault="00F531A3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951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1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E260F" w:rsidRPr="000A417C">
              <w:rPr>
                <w:sz w:val="20"/>
                <w:szCs w:val="20"/>
              </w:rPr>
              <w:t xml:space="preserve">  </w:t>
            </w:r>
            <w:proofErr w:type="spellStart"/>
            <w:r w:rsidR="003E260F" w:rsidRPr="000A417C">
              <w:rPr>
                <w:sz w:val="20"/>
                <w:szCs w:val="20"/>
              </w:rPr>
              <w:t>Interdependencies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with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</w:t>
            </w:r>
            <w:proofErr w:type="spellStart"/>
            <w:r w:rsidR="003E260F" w:rsidRPr="000A417C">
              <w:rPr>
                <w:sz w:val="20"/>
                <w:szCs w:val="20"/>
              </w:rPr>
              <w:t>other</w:t>
            </w:r>
            <w:proofErr w:type="spellEnd"/>
            <w:r w:rsidR="003E260F" w:rsidRPr="000A417C">
              <w:rPr>
                <w:sz w:val="20"/>
                <w:szCs w:val="20"/>
              </w:rPr>
              <w:t xml:space="preserve"> Actions  </w:t>
            </w:r>
          </w:p>
          <w:p w14:paraId="6F3EC0B1" w14:textId="77777777" w:rsidR="003E260F" w:rsidRPr="00171DDB" w:rsidRDefault="003E260F" w:rsidP="00271EDB">
            <w:pPr>
              <w:spacing w:before="80" w:after="80" w:line="259" w:lineRule="auto"/>
              <w:rPr>
                <w:sz w:val="20"/>
                <w:szCs w:val="20"/>
              </w:rPr>
            </w:pPr>
            <w:proofErr w:type="spellStart"/>
            <w:r w:rsidRPr="000A417C">
              <w:rPr>
                <w:sz w:val="20"/>
                <w:szCs w:val="20"/>
              </w:rPr>
              <w:t>Others</w:t>
            </w:r>
            <w:proofErr w:type="spellEnd"/>
            <w:r w:rsidRPr="000A417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n/a</w:t>
            </w:r>
          </w:p>
        </w:tc>
      </w:tr>
    </w:tbl>
    <w:p w14:paraId="410E83ED" w14:textId="77777777" w:rsidR="003E260F" w:rsidRPr="00A50466" w:rsidRDefault="003E260F" w:rsidP="003E260F">
      <w:pPr>
        <w:rPr>
          <w:lang w:val="en-GB"/>
        </w:rPr>
      </w:pPr>
    </w:p>
    <w:p w14:paraId="11130FCE" w14:textId="222FFF72" w:rsidR="00C27E95" w:rsidRPr="00A50466" w:rsidRDefault="003E260F" w:rsidP="003E260F">
      <w:pPr>
        <w:pStyle w:val="Annexlevel3"/>
      </w:pPr>
      <w:r w:rsidRPr="00A50466">
        <w:t xml:space="preserve"> </w:t>
      </w:r>
    </w:p>
    <w:sectPr w:rsidR="00C27E95" w:rsidRPr="00A50466" w:rsidSect="00B03F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CB18" w14:textId="77777777" w:rsidR="00762B8B" w:rsidRDefault="00762B8B" w:rsidP="00E17077">
      <w:pPr>
        <w:spacing w:line="240" w:lineRule="auto"/>
      </w:pPr>
      <w:r>
        <w:separator/>
      </w:r>
    </w:p>
  </w:endnote>
  <w:endnote w:type="continuationSeparator" w:id="0">
    <w:p w14:paraId="7C942038" w14:textId="77777777" w:rsidR="00762B8B" w:rsidRDefault="00762B8B" w:rsidP="00E17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F1E5" w14:textId="77777777" w:rsidR="00762B8B" w:rsidRDefault="00762B8B" w:rsidP="00E17077">
      <w:pPr>
        <w:spacing w:line="240" w:lineRule="auto"/>
      </w:pPr>
      <w:r>
        <w:separator/>
      </w:r>
    </w:p>
  </w:footnote>
  <w:footnote w:type="continuationSeparator" w:id="0">
    <w:p w14:paraId="6EFF452F" w14:textId="77777777" w:rsidR="00762B8B" w:rsidRDefault="00762B8B" w:rsidP="00E17077">
      <w:pPr>
        <w:spacing w:line="240" w:lineRule="auto"/>
      </w:pPr>
      <w:r>
        <w:continuationSeparator/>
      </w:r>
    </w:p>
  </w:footnote>
  <w:footnote w:id="1">
    <w:p w14:paraId="3E074305" w14:textId="301F2239" w:rsidR="001027D2" w:rsidRDefault="001027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85A87">
          <w:rPr>
            <w:rStyle w:val="Hyperlink"/>
          </w:rPr>
          <w:t>https://ies-svn.jrc.ec.europa.eu/attachments/download/2536/%5BDOC11_rev%5D_Priority%20Geospatial%20Datasets%20for%20the%20European%20Commission.pdf</w:t>
        </w:r>
      </w:hyperlink>
    </w:p>
    <w:p w14:paraId="2C9CB42D" w14:textId="77777777" w:rsidR="001027D2" w:rsidRDefault="001027D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F471" w14:textId="496C5240" w:rsidR="00AB6343" w:rsidRDefault="003A0313" w:rsidP="00E63A75">
    <w:pPr>
      <w:pStyle w:val="Header"/>
      <w:jc w:val="right"/>
    </w:pPr>
    <w:r>
      <w:rPr>
        <w:lang w:val="fr-BE"/>
      </w:rPr>
      <w:t>MIG/9/2018/DOC</w:t>
    </w:r>
    <w:r w:rsidR="003B4F88">
      <w:rPr>
        <w:lang w:val="fr-B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148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ED6"/>
    <w:multiLevelType w:val="hybridMultilevel"/>
    <w:tmpl w:val="24A6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30C"/>
    <w:multiLevelType w:val="hybridMultilevel"/>
    <w:tmpl w:val="04DEFC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11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A90665"/>
    <w:multiLevelType w:val="hybridMultilevel"/>
    <w:tmpl w:val="821E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C7D40"/>
    <w:multiLevelType w:val="hybridMultilevel"/>
    <w:tmpl w:val="B24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0371"/>
    <w:multiLevelType w:val="hybridMultilevel"/>
    <w:tmpl w:val="70EA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1062"/>
    <w:multiLevelType w:val="hybridMultilevel"/>
    <w:tmpl w:val="0FDE2304"/>
    <w:lvl w:ilvl="0" w:tplc="36D63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025C7"/>
    <w:multiLevelType w:val="hybridMultilevel"/>
    <w:tmpl w:val="ED4E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2896"/>
    <w:multiLevelType w:val="hybridMultilevel"/>
    <w:tmpl w:val="63BC8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FE1"/>
    <w:multiLevelType w:val="hybridMultilevel"/>
    <w:tmpl w:val="AB60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472C"/>
    <w:multiLevelType w:val="hybridMultilevel"/>
    <w:tmpl w:val="46BA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97889"/>
    <w:rsid w:val="00001EF2"/>
    <w:rsid w:val="0001631F"/>
    <w:rsid w:val="00023E08"/>
    <w:rsid w:val="0002625B"/>
    <w:rsid w:val="00027472"/>
    <w:rsid w:val="00041560"/>
    <w:rsid w:val="00046185"/>
    <w:rsid w:val="00047BEA"/>
    <w:rsid w:val="00047DE8"/>
    <w:rsid w:val="00072009"/>
    <w:rsid w:val="00095C98"/>
    <w:rsid w:val="000B0F77"/>
    <w:rsid w:val="000B2CC7"/>
    <w:rsid w:val="000B3DD2"/>
    <w:rsid w:val="000D2EF4"/>
    <w:rsid w:val="000E1558"/>
    <w:rsid w:val="000E3A01"/>
    <w:rsid w:val="000E5C22"/>
    <w:rsid w:val="000F0DAD"/>
    <w:rsid w:val="000F2FCA"/>
    <w:rsid w:val="0010163C"/>
    <w:rsid w:val="001027D2"/>
    <w:rsid w:val="00106AE3"/>
    <w:rsid w:val="00117F78"/>
    <w:rsid w:val="00147DC2"/>
    <w:rsid w:val="001543F2"/>
    <w:rsid w:val="00155E34"/>
    <w:rsid w:val="001640FD"/>
    <w:rsid w:val="00164767"/>
    <w:rsid w:val="00164BEE"/>
    <w:rsid w:val="00164D99"/>
    <w:rsid w:val="00167314"/>
    <w:rsid w:val="00171DDB"/>
    <w:rsid w:val="001A277D"/>
    <w:rsid w:val="001A577F"/>
    <w:rsid w:val="001B5A23"/>
    <w:rsid w:val="001C718C"/>
    <w:rsid w:val="001D42F8"/>
    <w:rsid w:val="001D5544"/>
    <w:rsid w:val="001F29B2"/>
    <w:rsid w:val="0020167C"/>
    <w:rsid w:val="00214AD6"/>
    <w:rsid w:val="0023017D"/>
    <w:rsid w:val="00230B69"/>
    <w:rsid w:val="0025199B"/>
    <w:rsid w:val="0027086E"/>
    <w:rsid w:val="002B0D57"/>
    <w:rsid w:val="002C6501"/>
    <w:rsid w:val="002D37DC"/>
    <w:rsid w:val="002D548D"/>
    <w:rsid w:val="002F3021"/>
    <w:rsid w:val="00302EFA"/>
    <w:rsid w:val="003067B5"/>
    <w:rsid w:val="00307FAE"/>
    <w:rsid w:val="00311BC9"/>
    <w:rsid w:val="003166D2"/>
    <w:rsid w:val="00345B79"/>
    <w:rsid w:val="003554D9"/>
    <w:rsid w:val="00374B05"/>
    <w:rsid w:val="00375586"/>
    <w:rsid w:val="00380EBE"/>
    <w:rsid w:val="003A0313"/>
    <w:rsid w:val="003B4F88"/>
    <w:rsid w:val="003D60F9"/>
    <w:rsid w:val="003E15DD"/>
    <w:rsid w:val="003E260F"/>
    <w:rsid w:val="003E64BA"/>
    <w:rsid w:val="004018CF"/>
    <w:rsid w:val="004226AA"/>
    <w:rsid w:val="00432A69"/>
    <w:rsid w:val="004472EE"/>
    <w:rsid w:val="00454D0A"/>
    <w:rsid w:val="00460814"/>
    <w:rsid w:val="00464AA1"/>
    <w:rsid w:val="004650DF"/>
    <w:rsid w:val="004700A3"/>
    <w:rsid w:val="00470D07"/>
    <w:rsid w:val="00491C14"/>
    <w:rsid w:val="004929C8"/>
    <w:rsid w:val="00496F9C"/>
    <w:rsid w:val="004A0DFB"/>
    <w:rsid w:val="004A4086"/>
    <w:rsid w:val="004A5D21"/>
    <w:rsid w:val="004B3F87"/>
    <w:rsid w:val="004B46F2"/>
    <w:rsid w:val="004B579C"/>
    <w:rsid w:val="004B601A"/>
    <w:rsid w:val="004B6CEE"/>
    <w:rsid w:val="004C1E6C"/>
    <w:rsid w:val="004E76A9"/>
    <w:rsid w:val="004F69BC"/>
    <w:rsid w:val="00502234"/>
    <w:rsid w:val="00507457"/>
    <w:rsid w:val="00514CF6"/>
    <w:rsid w:val="005251D2"/>
    <w:rsid w:val="0052540A"/>
    <w:rsid w:val="005358D9"/>
    <w:rsid w:val="005A17E1"/>
    <w:rsid w:val="005B3CFF"/>
    <w:rsid w:val="005C0CC2"/>
    <w:rsid w:val="005F2B9A"/>
    <w:rsid w:val="0060460C"/>
    <w:rsid w:val="00613D22"/>
    <w:rsid w:val="00627062"/>
    <w:rsid w:val="00633B77"/>
    <w:rsid w:val="00641C8A"/>
    <w:rsid w:val="00645476"/>
    <w:rsid w:val="00645AF1"/>
    <w:rsid w:val="00646974"/>
    <w:rsid w:val="00674983"/>
    <w:rsid w:val="006849E2"/>
    <w:rsid w:val="006934EF"/>
    <w:rsid w:val="00696692"/>
    <w:rsid w:val="00697C91"/>
    <w:rsid w:val="006B067E"/>
    <w:rsid w:val="006B0D51"/>
    <w:rsid w:val="006C2BED"/>
    <w:rsid w:val="007022F2"/>
    <w:rsid w:val="0070506D"/>
    <w:rsid w:val="00716304"/>
    <w:rsid w:val="007174A3"/>
    <w:rsid w:val="00756B83"/>
    <w:rsid w:val="00762B8B"/>
    <w:rsid w:val="00782E74"/>
    <w:rsid w:val="00792077"/>
    <w:rsid w:val="007A12C1"/>
    <w:rsid w:val="007B065A"/>
    <w:rsid w:val="007B4A06"/>
    <w:rsid w:val="007C0D6B"/>
    <w:rsid w:val="007C4B34"/>
    <w:rsid w:val="007E08DC"/>
    <w:rsid w:val="007F64A7"/>
    <w:rsid w:val="007F7202"/>
    <w:rsid w:val="00802CA5"/>
    <w:rsid w:val="0081235F"/>
    <w:rsid w:val="00825249"/>
    <w:rsid w:val="00825903"/>
    <w:rsid w:val="008423CF"/>
    <w:rsid w:val="00842A24"/>
    <w:rsid w:val="008507D9"/>
    <w:rsid w:val="00852343"/>
    <w:rsid w:val="00853F5C"/>
    <w:rsid w:val="00866433"/>
    <w:rsid w:val="0087511F"/>
    <w:rsid w:val="00881F08"/>
    <w:rsid w:val="008834D5"/>
    <w:rsid w:val="00897717"/>
    <w:rsid w:val="008A3818"/>
    <w:rsid w:val="008B193C"/>
    <w:rsid w:val="008C34D2"/>
    <w:rsid w:val="008C416D"/>
    <w:rsid w:val="008D40DD"/>
    <w:rsid w:val="008E00D7"/>
    <w:rsid w:val="008F13DD"/>
    <w:rsid w:val="008F79AF"/>
    <w:rsid w:val="008F7BC0"/>
    <w:rsid w:val="00911DB6"/>
    <w:rsid w:val="00937969"/>
    <w:rsid w:val="009536D8"/>
    <w:rsid w:val="00982F69"/>
    <w:rsid w:val="00983F98"/>
    <w:rsid w:val="0099058E"/>
    <w:rsid w:val="009C57E8"/>
    <w:rsid w:val="009C5865"/>
    <w:rsid w:val="009C6B2B"/>
    <w:rsid w:val="009E0E39"/>
    <w:rsid w:val="009F5E50"/>
    <w:rsid w:val="00A01D04"/>
    <w:rsid w:val="00A42611"/>
    <w:rsid w:val="00A66BE5"/>
    <w:rsid w:val="00A759DC"/>
    <w:rsid w:val="00A963B8"/>
    <w:rsid w:val="00AB6343"/>
    <w:rsid w:val="00AC1662"/>
    <w:rsid w:val="00AC2871"/>
    <w:rsid w:val="00AD2A6C"/>
    <w:rsid w:val="00AD313B"/>
    <w:rsid w:val="00AD40F8"/>
    <w:rsid w:val="00AD4BB0"/>
    <w:rsid w:val="00B03F83"/>
    <w:rsid w:val="00B14690"/>
    <w:rsid w:val="00B42A64"/>
    <w:rsid w:val="00B560B1"/>
    <w:rsid w:val="00B65289"/>
    <w:rsid w:val="00B74499"/>
    <w:rsid w:val="00B837BC"/>
    <w:rsid w:val="00B839C7"/>
    <w:rsid w:val="00B912C8"/>
    <w:rsid w:val="00BA0778"/>
    <w:rsid w:val="00BA5BE0"/>
    <w:rsid w:val="00BB486F"/>
    <w:rsid w:val="00BC52B4"/>
    <w:rsid w:val="00BE1D00"/>
    <w:rsid w:val="00BE4996"/>
    <w:rsid w:val="00BF26B9"/>
    <w:rsid w:val="00BF61CE"/>
    <w:rsid w:val="00C07136"/>
    <w:rsid w:val="00C10118"/>
    <w:rsid w:val="00C27E95"/>
    <w:rsid w:val="00C3496A"/>
    <w:rsid w:val="00C34C3B"/>
    <w:rsid w:val="00C35608"/>
    <w:rsid w:val="00C77A5F"/>
    <w:rsid w:val="00C8066F"/>
    <w:rsid w:val="00CB549F"/>
    <w:rsid w:val="00CC6A12"/>
    <w:rsid w:val="00D11B29"/>
    <w:rsid w:val="00D13606"/>
    <w:rsid w:val="00D30091"/>
    <w:rsid w:val="00D345AF"/>
    <w:rsid w:val="00D36D22"/>
    <w:rsid w:val="00D73507"/>
    <w:rsid w:val="00D83757"/>
    <w:rsid w:val="00D977F1"/>
    <w:rsid w:val="00DA04F9"/>
    <w:rsid w:val="00DB3B34"/>
    <w:rsid w:val="00DB41DA"/>
    <w:rsid w:val="00E12660"/>
    <w:rsid w:val="00E17077"/>
    <w:rsid w:val="00E5647F"/>
    <w:rsid w:val="00E56FD4"/>
    <w:rsid w:val="00E63A75"/>
    <w:rsid w:val="00E7542B"/>
    <w:rsid w:val="00E85BFE"/>
    <w:rsid w:val="00E87E49"/>
    <w:rsid w:val="00E95410"/>
    <w:rsid w:val="00E97889"/>
    <w:rsid w:val="00EA4C25"/>
    <w:rsid w:val="00EB3283"/>
    <w:rsid w:val="00EC2201"/>
    <w:rsid w:val="00EC4DE7"/>
    <w:rsid w:val="00ED21F3"/>
    <w:rsid w:val="00EE39EF"/>
    <w:rsid w:val="00F13342"/>
    <w:rsid w:val="00F237D6"/>
    <w:rsid w:val="00F31E6A"/>
    <w:rsid w:val="00F32D73"/>
    <w:rsid w:val="00F419AB"/>
    <w:rsid w:val="00F531A3"/>
    <w:rsid w:val="00F602CC"/>
    <w:rsid w:val="00F71C38"/>
    <w:rsid w:val="00F8672C"/>
    <w:rsid w:val="00F92BDB"/>
    <w:rsid w:val="00FA0815"/>
    <w:rsid w:val="00FD2F1E"/>
    <w:rsid w:val="00FF0E52"/>
    <w:rsid w:val="00FF3FB8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7313"/>
  <w15:docId w15:val="{62596DFE-7E78-4B38-A486-A955129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62"/>
    <w:pPr>
      <w:spacing w:before="120" w:after="0" w:line="276" w:lineRule="auto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71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889"/>
    <w:pPr>
      <w:keepNext/>
      <w:keepLines/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889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88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71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71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71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71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71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E978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E978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E9788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7889"/>
    <w:rPr>
      <w:rFonts w:asciiTheme="majorHAnsi" w:eastAsiaTheme="majorEastAsia" w:hAnsiTheme="majorHAnsi" w:cstheme="majorBidi"/>
      <w:i/>
      <w:iCs/>
      <w:color w:val="2E74B5" w:themeColor="accent1" w:themeShade="BF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4C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34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70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17077"/>
    <w:rPr>
      <w:sz w:val="20"/>
      <w:szCs w:val="20"/>
    </w:rPr>
  </w:style>
  <w:style w:type="character" w:styleId="FootnoteReference">
    <w:name w:val="footnote reference"/>
    <w:aliases w:val="Footnote Reference - Carlos,stylish,Ref,de nota al pie,Footnote reference number,Footnote symbol,note TESI,Footnote Reference Number,E FNZ,-E Fußnotenzeichen,Footnote#,Footnote,Times 10 Point,Exposant 3 Point,SUPERS,BVI fnr,number,E"/>
    <w:basedOn w:val="DefaultParagraphFont"/>
    <w:uiPriority w:val="99"/>
    <w:unhideWhenUsed/>
    <w:qFormat/>
    <w:rsid w:val="00E1707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C16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6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table" w:styleId="TableGrid">
    <w:name w:val="Table Grid"/>
    <w:basedOn w:val="TableNormal"/>
    <w:rsid w:val="00AC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C1662"/>
    <w:pPr>
      <w:numPr>
        <w:numId w:val="2"/>
      </w:numPr>
      <w:suppressAutoHyphens/>
      <w:spacing w:after="240" w:line="240" w:lineRule="auto"/>
      <w:contextualSpacing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AC16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62"/>
    <w:rPr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717"/>
    <w:rPr>
      <w:rFonts w:asciiTheme="majorHAnsi" w:eastAsiaTheme="majorEastAsia" w:hAnsiTheme="majorHAnsi" w:cstheme="majorBidi"/>
      <w:color w:val="2E74B5" w:themeColor="accent1" w:themeShade="B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717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717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7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7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897717"/>
    <w:pPr>
      <w:spacing w:before="24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77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7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7717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07457"/>
    <w:pPr>
      <w:spacing w:before="0"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7E9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95"/>
    <w:rPr>
      <w:lang w:val="nl-BE"/>
    </w:rPr>
  </w:style>
  <w:style w:type="paragraph" w:customStyle="1" w:styleId="Text2">
    <w:name w:val="Text 2"/>
    <w:basedOn w:val="Normal"/>
    <w:rsid w:val="0099058E"/>
    <w:pPr>
      <w:tabs>
        <w:tab w:val="left" w:pos="2160"/>
      </w:tabs>
      <w:spacing w:before="0"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E85B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4D0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881F08"/>
    <w:pPr>
      <w:suppressAutoHyphens/>
      <w:spacing w:before="0" w:after="120"/>
    </w:pPr>
    <w:rPr>
      <w:rFonts w:ascii="Calibri" w:eastAsia="Calibri" w:hAnsi="Calibri" w:cs="Times New Roman"/>
      <w:kern w:val="1"/>
      <w:lang w:val="en-GB"/>
    </w:rPr>
  </w:style>
  <w:style w:type="character" w:customStyle="1" w:styleId="BodyTextChar">
    <w:name w:val="Body Text Char"/>
    <w:basedOn w:val="DefaultParagraphFont"/>
    <w:link w:val="BodyText"/>
    <w:rsid w:val="00881F08"/>
    <w:rPr>
      <w:rFonts w:ascii="Calibri" w:eastAsia="Calibri" w:hAnsi="Calibri" w:cs="Times New Roman"/>
      <w:kern w:val="1"/>
      <w:lang w:val="en-GB"/>
    </w:rPr>
  </w:style>
  <w:style w:type="paragraph" w:customStyle="1" w:styleId="Annexlevel2">
    <w:name w:val="Annex level 2"/>
    <w:basedOn w:val="Heading2"/>
    <w:link w:val="Annexlevel2Char"/>
    <w:qFormat/>
    <w:rsid w:val="006849E2"/>
    <w:pPr>
      <w:numPr>
        <w:ilvl w:val="0"/>
        <w:numId w:val="0"/>
      </w:numPr>
      <w:suppressAutoHyphens/>
      <w:autoSpaceDN w:val="0"/>
      <w:spacing w:before="480" w:after="240"/>
      <w:ind w:left="578" w:hanging="578"/>
      <w:textAlignment w:val="baseline"/>
    </w:pPr>
    <w:rPr>
      <w:b/>
      <w:bCs/>
      <w:color w:val="5B9BD5" w:themeColor="accent1"/>
      <w:lang w:val="en-GB"/>
    </w:rPr>
  </w:style>
  <w:style w:type="character" w:customStyle="1" w:styleId="Annexlevel2Char">
    <w:name w:val="Annex level 2 Char"/>
    <w:basedOn w:val="Heading2Char"/>
    <w:link w:val="Annexlevel2"/>
    <w:rsid w:val="006849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customStyle="1" w:styleId="Annexlevel3">
    <w:name w:val="Annex level 3"/>
    <w:basedOn w:val="Heading3"/>
    <w:link w:val="Annexlevel3Char"/>
    <w:qFormat/>
    <w:rsid w:val="006849E2"/>
    <w:pPr>
      <w:numPr>
        <w:ilvl w:val="0"/>
        <w:numId w:val="0"/>
      </w:numPr>
      <w:suppressAutoHyphens/>
      <w:autoSpaceDN w:val="0"/>
      <w:spacing w:before="360" w:after="240"/>
      <w:textAlignment w:val="baseline"/>
    </w:pPr>
    <w:rPr>
      <w:b/>
      <w:bCs/>
      <w:color w:val="5B9BD5" w:themeColor="accent1"/>
      <w:lang w:val="en-GB"/>
    </w:rPr>
  </w:style>
  <w:style w:type="character" w:customStyle="1" w:styleId="Annexlevel3Char">
    <w:name w:val="Annex level 3 Char"/>
    <w:basedOn w:val="Heading3Char"/>
    <w:link w:val="Annexlevel3"/>
    <w:rsid w:val="006849E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es-svn.jrc.ec.europa.eu/attachments/download/2536/%5BDOC11_rev%5D_Priority%20Geospatial%20Datasets%20for%20the%20European%20Commi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8023-3C09-4381-AD73-D5A3556A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7082</Characters>
  <Application>Microsoft Office Word</Application>
  <DocSecurity>0</DocSecurity>
  <Lines>181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Lutz</dc:creator>
  <cp:keywords/>
  <dc:description/>
  <cp:lastModifiedBy>ROBBRECHT Joeri (ENV)</cp:lastModifiedBy>
  <cp:revision>3</cp:revision>
  <cp:lastPrinted>2018-11-16T14:47:00Z</cp:lastPrinted>
  <dcterms:created xsi:type="dcterms:W3CDTF">2018-11-22T12:30:00Z</dcterms:created>
  <dcterms:modified xsi:type="dcterms:W3CDTF">2018-11-22T12:33:00Z</dcterms:modified>
</cp:coreProperties>
</file>