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F90" w14:textId="2CE8C95C" w:rsidR="00672237" w:rsidRDefault="00672237" w:rsidP="00881496">
      <w:pPr>
        <w:pStyle w:val="Cover-title3"/>
        <w:jc w:val="left"/>
      </w:pPr>
    </w:p>
    <w:p w14:paraId="7981A376" w14:textId="77777777" w:rsidR="00014685" w:rsidRPr="00BB14D7" w:rsidRDefault="00014685" w:rsidP="00BB14D7">
      <w:pPr>
        <w:rPr>
          <w:lang w:eastAsia="da-DK"/>
        </w:rPr>
      </w:pPr>
    </w:p>
    <w:p w14:paraId="146ECF19" w14:textId="77777777" w:rsidR="00672237" w:rsidRPr="00CB755B" w:rsidRDefault="00672237" w:rsidP="00672237">
      <w:pPr>
        <w:pStyle w:val="Cover-title3"/>
      </w:pPr>
    </w:p>
    <w:p w14:paraId="7A0BA601" w14:textId="77777777" w:rsidR="00672237" w:rsidRDefault="00672237" w:rsidP="00672237">
      <w:pPr>
        <w:pStyle w:val="Cover-title3"/>
      </w:pPr>
    </w:p>
    <w:p w14:paraId="5F9145A4" w14:textId="77777777" w:rsidR="00881496" w:rsidRPr="00881496" w:rsidRDefault="00881496" w:rsidP="00881496">
      <w:pPr>
        <w:suppressAutoHyphens/>
        <w:spacing w:after="240"/>
        <w:ind w:left="360"/>
        <w:contextualSpacing/>
        <w:jc w:val="left"/>
        <w:rPr>
          <w:rFonts w:eastAsia="Times New Roman" w:cs="Arial"/>
          <w:b/>
          <w:color w:val="auto"/>
          <w:sz w:val="40"/>
          <w:szCs w:val="20"/>
          <w:lang w:eastAsia="ar-SA"/>
        </w:rPr>
      </w:pPr>
      <w:r w:rsidRPr="00881496">
        <w:rPr>
          <w:rFonts w:eastAsia="Times New Roman" w:cs="Arial"/>
          <w:b/>
          <w:noProof/>
          <w:color w:val="auto"/>
          <w:sz w:val="40"/>
          <w:szCs w:val="20"/>
          <w:lang w:eastAsia="en-GB"/>
        </w:rPr>
        <w:drawing>
          <wp:anchor distT="0" distB="0" distL="114935" distR="114935" simplePos="0" relativeHeight="251732992" behindDoc="0" locked="0" layoutInCell="1" allowOverlap="1" wp14:anchorId="2A9D503E" wp14:editId="701C2932">
            <wp:simplePos x="0" y="0"/>
            <wp:positionH relativeFrom="column">
              <wp:posOffset>0</wp:posOffset>
            </wp:positionH>
            <wp:positionV relativeFrom="paragraph">
              <wp:posOffset>-231140</wp:posOffset>
            </wp:positionV>
            <wp:extent cx="1028065" cy="1021080"/>
            <wp:effectExtent l="0" t="0" r="635" b="762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065" cy="1021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81496">
        <w:rPr>
          <w:rFonts w:eastAsia="Times New Roman" w:cs="Arial"/>
          <w:b/>
          <w:color w:val="auto"/>
          <w:sz w:val="40"/>
          <w:szCs w:val="20"/>
          <w:lang w:eastAsia="ar-SA"/>
        </w:rPr>
        <w:t>INSPIRE</w:t>
      </w:r>
    </w:p>
    <w:p w14:paraId="63298250" w14:textId="77777777" w:rsidR="00881496" w:rsidRPr="00881496" w:rsidRDefault="00881496" w:rsidP="00881496">
      <w:pPr>
        <w:suppressAutoHyphens/>
        <w:spacing w:after="240"/>
        <w:rPr>
          <w:rFonts w:eastAsia="Times New Roman" w:cs="Arial"/>
          <w:b/>
          <w:color w:val="auto"/>
          <w:sz w:val="24"/>
          <w:szCs w:val="20"/>
          <w:lang w:eastAsia="ar-SA"/>
        </w:rPr>
      </w:pPr>
      <w:r w:rsidRPr="00881496">
        <w:rPr>
          <w:rFonts w:eastAsia="Times New Roman" w:cs="Arial"/>
          <w:b/>
          <w:color w:val="auto"/>
          <w:sz w:val="24"/>
          <w:szCs w:val="20"/>
          <w:lang w:eastAsia="ar-SA"/>
        </w:rPr>
        <w:t>Infrastructure for Spatial Information in Europe</w:t>
      </w:r>
    </w:p>
    <w:p w14:paraId="4A7919D1" w14:textId="77777777" w:rsidR="00881496" w:rsidRPr="00881496" w:rsidRDefault="00881496" w:rsidP="00881496">
      <w:pPr>
        <w:suppressAutoHyphens/>
        <w:spacing w:after="240"/>
        <w:rPr>
          <w:rFonts w:eastAsia="Times New Roman" w:cs="Arial"/>
          <w:color w:val="auto"/>
          <w:sz w:val="20"/>
          <w:szCs w:val="20"/>
          <w:lang w:eastAsia="ar-SA"/>
        </w:rPr>
      </w:pPr>
    </w:p>
    <w:p w14:paraId="22E05034" w14:textId="77777777" w:rsidR="00881496" w:rsidRPr="00881496" w:rsidRDefault="00881496" w:rsidP="00881496">
      <w:pPr>
        <w:suppressAutoHyphens/>
        <w:spacing w:after="240"/>
        <w:rPr>
          <w:rFonts w:eastAsia="Times New Roman" w:cs="Arial"/>
          <w:color w:val="auto"/>
          <w:sz w:val="20"/>
          <w:szCs w:val="20"/>
          <w:lang w:eastAsia="ar-SA"/>
        </w:rPr>
      </w:pPr>
    </w:p>
    <w:p w14:paraId="2BEC6FD9" w14:textId="77777777" w:rsidR="001A1EFA" w:rsidRDefault="001A1EFA" w:rsidP="001A1EFA">
      <w:pPr>
        <w:rPr>
          <w:lang w:eastAsia="da-DK"/>
        </w:rPr>
      </w:pPr>
    </w:p>
    <w:p w14:paraId="6453CFC6" w14:textId="3227361E" w:rsidR="006711AA" w:rsidRDefault="006D0852" w:rsidP="006711AA">
      <w:pPr>
        <w:pStyle w:val="Title"/>
        <w:jc w:val="both"/>
        <w:rPr>
          <w:sz w:val="44"/>
          <w:lang w:val="en-GB"/>
        </w:rPr>
      </w:pPr>
      <w:r w:rsidRPr="006D0852">
        <w:rPr>
          <w:sz w:val="44"/>
          <w:lang w:val="en-GB"/>
        </w:rPr>
        <w:t>Guidance document</w:t>
      </w:r>
      <w:r w:rsidRPr="00C6730C">
        <w:rPr>
          <w:lang w:val="en-GB"/>
        </w:rPr>
        <w:t xml:space="preserve"> </w:t>
      </w:r>
      <w:r w:rsidRPr="006D0852">
        <w:rPr>
          <w:sz w:val="44"/>
          <w:lang w:val="en-GB"/>
        </w:rPr>
        <w:t xml:space="preserve">for calculation of indicators in support of Commission Decision </w:t>
      </w:r>
      <w:r w:rsidRPr="00130960">
        <w:rPr>
          <w:color w:val="FF0000"/>
          <w:sz w:val="44"/>
          <w:lang w:val="en-GB"/>
        </w:rPr>
        <w:t xml:space="preserve">[XXX] </w:t>
      </w:r>
      <w:r w:rsidRPr="006D0852">
        <w:rPr>
          <w:sz w:val="44"/>
          <w:lang w:val="en-GB"/>
        </w:rPr>
        <w:t>implementing Directive 2007/2/EC (INSPIRE) as regards monitoring and reporting.</w:t>
      </w:r>
    </w:p>
    <w:tbl>
      <w:tblPr>
        <w:tblW w:w="921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55"/>
        <w:gridCol w:w="7156"/>
      </w:tblGrid>
      <w:tr w:rsidR="006711AA" w:rsidRPr="006D78C2" w14:paraId="3BE97C6A" w14:textId="77777777" w:rsidTr="006711AA">
        <w:tc>
          <w:tcPr>
            <w:tcW w:w="2055" w:type="dxa"/>
            <w:shd w:val="clear" w:color="auto" w:fill="auto"/>
          </w:tcPr>
          <w:p w14:paraId="2DF4E7D0" w14:textId="77777777" w:rsidR="006711AA" w:rsidRPr="006D78C2" w:rsidRDefault="006711AA" w:rsidP="006711AA">
            <w:pPr>
              <w:overflowPunct w:val="0"/>
              <w:autoSpaceDE w:val="0"/>
              <w:spacing w:before="60" w:after="60"/>
              <w:rPr>
                <w:rFonts w:cs="Arial"/>
                <w:b/>
                <w:bCs/>
                <w:sz w:val="20"/>
                <w:szCs w:val="20"/>
                <w:lang w:eastAsia="zh-CN"/>
              </w:rPr>
            </w:pPr>
            <w:r w:rsidRPr="006D78C2">
              <w:rPr>
                <w:rFonts w:cs="Arial"/>
                <w:b/>
                <w:bCs/>
                <w:sz w:val="20"/>
                <w:szCs w:val="20"/>
                <w:lang w:eastAsia="zh-CN"/>
              </w:rPr>
              <w:t>T</w:t>
            </w:r>
            <w:r w:rsidRPr="00C74368">
              <w:rPr>
                <w:rFonts w:cs="Arial"/>
                <w:b/>
                <w:bCs/>
                <w:sz w:val="20"/>
                <w:szCs w:val="20"/>
                <w:lang w:eastAsia="zh-CN"/>
              </w:rPr>
              <w:t>ype</w:t>
            </w:r>
          </w:p>
        </w:tc>
        <w:tc>
          <w:tcPr>
            <w:tcW w:w="7156" w:type="dxa"/>
            <w:shd w:val="clear" w:color="auto" w:fill="auto"/>
          </w:tcPr>
          <w:p w14:paraId="276DD74D" w14:textId="5028086B" w:rsidR="006711AA" w:rsidRPr="002530D2" w:rsidRDefault="006711AA" w:rsidP="006D0852">
            <w:pPr>
              <w:overflowPunct w:val="0"/>
              <w:autoSpaceDE w:val="0"/>
              <w:rPr>
                <w:rFonts w:cs="Arial"/>
                <w:sz w:val="20"/>
                <w:szCs w:val="20"/>
                <w:lang w:eastAsia="zh-CN"/>
              </w:rPr>
            </w:pPr>
            <w:r w:rsidRPr="002530D2">
              <w:rPr>
                <w:rFonts w:cs="Arial"/>
                <w:sz w:val="20"/>
                <w:szCs w:val="20"/>
                <w:lang w:eastAsia="zh-CN"/>
              </w:rPr>
              <w:t xml:space="preserve">Document for discussion </w:t>
            </w:r>
            <w:r w:rsidR="006D0852">
              <w:rPr>
                <w:rFonts w:cs="Arial"/>
                <w:sz w:val="20"/>
                <w:szCs w:val="20"/>
                <w:lang w:eastAsia="zh-CN"/>
              </w:rPr>
              <w:t>and endorsement.</w:t>
            </w:r>
          </w:p>
        </w:tc>
      </w:tr>
      <w:tr w:rsidR="006711AA" w:rsidRPr="00EE61F0" w14:paraId="48B52F2D" w14:textId="77777777" w:rsidTr="006711AA">
        <w:tc>
          <w:tcPr>
            <w:tcW w:w="2055" w:type="dxa"/>
            <w:shd w:val="clear" w:color="auto" w:fill="auto"/>
          </w:tcPr>
          <w:p w14:paraId="0756C760" w14:textId="77777777" w:rsidR="006711AA" w:rsidRPr="006D78C2" w:rsidRDefault="006711AA" w:rsidP="006711AA">
            <w:pPr>
              <w:overflowPunct w:val="0"/>
              <w:autoSpaceDE w:val="0"/>
              <w:rPr>
                <w:rFonts w:cs="Arial"/>
                <w:b/>
                <w:sz w:val="20"/>
                <w:szCs w:val="20"/>
                <w:lang w:eastAsia="zh-CN"/>
              </w:rPr>
            </w:pPr>
            <w:r w:rsidRPr="006D78C2">
              <w:rPr>
                <w:rFonts w:cs="Arial"/>
                <w:b/>
                <w:sz w:val="20"/>
                <w:szCs w:val="20"/>
                <w:lang w:eastAsia="zh-CN"/>
              </w:rPr>
              <w:t>Creator</w:t>
            </w:r>
          </w:p>
        </w:tc>
        <w:tc>
          <w:tcPr>
            <w:tcW w:w="7156" w:type="dxa"/>
            <w:shd w:val="clear" w:color="auto" w:fill="auto"/>
          </w:tcPr>
          <w:p w14:paraId="272B71B0" w14:textId="5F7251A9" w:rsidR="006711AA" w:rsidRPr="002530D2" w:rsidRDefault="006D0852" w:rsidP="006D0852">
            <w:pPr>
              <w:overflowPunct w:val="0"/>
              <w:autoSpaceDE w:val="0"/>
              <w:rPr>
                <w:rFonts w:cs="Arial"/>
                <w:b/>
                <w:sz w:val="20"/>
                <w:szCs w:val="20"/>
                <w:lang w:eastAsia="zh-CN"/>
              </w:rPr>
            </w:pPr>
            <w:r>
              <w:rPr>
                <w:rFonts w:cs="Arial"/>
                <w:sz w:val="20"/>
                <w:szCs w:val="20"/>
                <w:lang w:eastAsia="zh-CN"/>
              </w:rPr>
              <w:t>MIWP 2018.1 subgroup</w:t>
            </w:r>
          </w:p>
        </w:tc>
      </w:tr>
      <w:tr w:rsidR="006711AA" w:rsidRPr="006D78C2" w14:paraId="7C21659D" w14:textId="77777777" w:rsidTr="006711AA">
        <w:tc>
          <w:tcPr>
            <w:tcW w:w="2055" w:type="dxa"/>
            <w:shd w:val="clear" w:color="auto" w:fill="auto"/>
          </w:tcPr>
          <w:p w14:paraId="69DF9AB3" w14:textId="77777777" w:rsidR="006711AA" w:rsidRPr="006D78C2" w:rsidRDefault="006711AA" w:rsidP="006711AA">
            <w:pPr>
              <w:overflowPunct w:val="0"/>
              <w:autoSpaceDE w:val="0"/>
              <w:rPr>
                <w:rFonts w:cs="Arial"/>
                <w:b/>
                <w:sz w:val="20"/>
                <w:szCs w:val="20"/>
                <w:lang w:eastAsia="zh-CN"/>
              </w:rPr>
            </w:pPr>
            <w:r>
              <w:rPr>
                <w:rFonts w:cs="Arial"/>
                <w:b/>
                <w:sz w:val="20"/>
                <w:szCs w:val="20"/>
                <w:lang w:eastAsia="zh-CN"/>
              </w:rPr>
              <w:t>Date</w:t>
            </w:r>
            <w:r w:rsidRPr="00C74368">
              <w:rPr>
                <w:rFonts w:cs="Arial"/>
                <w:b/>
                <w:sz w:val="20"/>
                <w:szCs w:val="20"/>
                <w:lang w:eastAsia="zh-CN"/>
              </w:rPr>
              <w:t>/status</w:t>
            </w:r>
            <w:r>
              <w:rPr>
                <w:rFonts w:cs="Arial"/>
                <w:b/>
                <w:sz w:val="20"/>
                <w:szCs w:val="20"/>
                <w:lang w:eastAsia="zh-CN"/>
              </w:rPr>
              <w:t>/version</w:t>
            </w:r>
          </w:p>
        </w:tc>
        <w:tc>
          <w:tcPr>
            <w:tcW w:w="7156" w:type="dxa"/>
            <w:shd w:val="clear" w:color="auto" w:fill="auto"/>
          </w:tcPr>
          <w:p w14:paraId="423EBE90" w14:textId="6BBB8C54" w:rsidR="006711AA" w:rsidRPr="002530D2" w:rsidRDefault="006D0852" w:rsidP="00C6730C">
            <w:pPr>
              <w:overflowPunct w:val="0"/>
              <w:autoSpaceDE w:val="0"/>
              <w:rPr>
                <w:rFonts w:cs="Arial"/>
                <w:sz w:val="20"/>
                <w:szCs w:val="20"/>
                <w:lang w:eastAsia="zh-CN"/>
              </w:rPr>
            </w:pPr>
            <w:r>
              <w:rPr>
                <w:rFonts w:cs="Arial"/>
                <w:sz w:val="20"/>
                <w:szCs w:val="20"/>
                <w:lang w:eastAsia="zh-CN"/>
              </w:rPr>
              <w:t>06</w:t>
            </w:r>
            <w:r w:rsidR="006711AA">
              <w:rPr>
                <w:rFonts w:cs="Arial"/>
                <w:sz w:val="20"/>
                <w:szCs w:val="20"/>
                <w:lang w:eastAsia="zh-CN"/>
              </w:rPr>
              <w:t>/0</w:t>
            </w:r>
            <w:r w:rsidR="00C6730C">
              <w:rPr>
                <w:rFonts w:cs="Arial"/>
                <w:sz w:val="20"/>
                <w:szCs w:val="20"/>
                <w:lang w:eastAsia="zh-CN"/>
              </w:rPr>
              <w:t>7</w:t>
            </w:r>
            <w:r w:rsidR="006711AA" w:rsidRPr="002530D2">
              <w:rPr>
                <w:rFonts w:cs="Arial"/>
                <w:sz w:val="20"/>
                <w:szCs w:val="20"/>
                <w:lang w:eastAsia="zh-CN"/>
              </w:rPr>
              <w:t>/201</w:t>
            </w:r>
            <w:r w:rsidR="006711AA">
              <w:rPr>
                <w:rFonts w:cs="Arial"/>
                <w:sz w:val="20"/>
                <w:szCs w:val="20"/>
                <w:lang w:eastAsia="zh-CN"/>
              </w:rPr>
              <w:t>9</w:t>
            </w:r>
            <w:r w:rsidR="006711AA" w:rsidRPr="002530D2">
              <w:rPr>
                <w:rFonts w:cs="Arial"/>
                <w:sz w:val="20"/>
                <w:szCs w:val="20"/>
                <w:lang w:eastAsia="zh-CN"/>
              </w:rPr>
              <w:t>/</w:t>
            </w:r>
            <w:r w:rsidR="00C6730C">
              <w:rPr>
                <w:rFonts w:cs="Arial"/>
                <w:sz w:val="20"/>
                <w:szCs w:val="20"/>
                <w:lang w:eastAsia="zh-CN"/>
              </w:rPr>
              <w:t>FINAL</w:t>
            </w:r>
            <w:r>
              <w:rPr>
                <w:rFonts w:cs="Arial"/>
                <w:sz w:val="20"/>
                <w:szCs w:val="20"/>
                <w:lang w:eastAsia="zh-CN"/>
              </w:rPr>
              <w:t>/</w:t>
            </w:r>
            <w:r w:rsidR="006711AA" w:rsidRPr="002530D2">
              <w:rPr>
                <w:rFonts w:cs="Arial"/>
                <w:sz w:val="20"/>
                <w:szCs w:val="20"/>
                <w:lang w:eastAsia="zh-CN"/>
              </w:rPr>
              <w:t xml:space="preserve">version </w:t>
            </w:r>
            <w:r w:rsidR="00C6730C">
              <w:rPr>
                <w:rFonts w:cs="Arial"/>
                <w:sz w:val="20"/>
                <w:szCs w:val="20"/>
                <w:lang w:eastAsia="zh-CN"/>
              </w:rPr>
              <w:t>1.</w:t>
            </w:r>
            <w:r w:rsidR="006711AA">
              <w:rPr>
                <w:rFonts w:cs="Arial"/>
                <w:sz w:val="20"/>
                <w:szCs w:val="20"/>
                <w:lang w:eastAsia="zh-CN"/>
              </w:rPr>
              <w:t>0</w:t>
            </w:r>
          </w:p>
        </w:tc>
      </w:tr>
      <w:tr w:rsidR="006711AA" w:rsidRPr="008C4470" w14:paraId="75E33106" w14:textId="77777777" w:rsidTr="006711AA">
        <w:tc>
          <w:tcPr>
            <w:tcW w:w="2055" w:type="dxa"/>
            <w:shd w:val="clear" w:color="auto" w:fill="auto"/>
          </w:tcPr>
          <w:p w14:paraId="284426EE" w14:textId="77777777" w:rsidR="006711AA" w:rsidRPr="006D78C2" w:rsidRDefault="006711AA" w:rsidP="006711AA">
            <w:pPr>
              <w:overflowPunct w:val="0"/>
              <w:autoSpaceDE w:val="0"/>
              <w:rPr>
                <w:rFonts w:cs="Arial"/>
                <w:b/>
                <w:sz w:val="20"/>
                <w:szCs w:val="20"/>
                <w:lang w:eastAsia="zh-CN"/>
              </w:rPr>
            </w:pPr>
            <w:r w:rsidRPr="00C74368">
              <w:rPr>
                <w:rFonts w:cs="Arial"/>
                <w:b/>
                <w:sz w:val="20"/>
                <w:szCs w:val="20"/>
                <w:lang w:eastAsia="zh-CN"/>
              </w:rPr>
              <w:t>Addressee</w:t>
            </w:r>
          </w:p>
        </w:tc>
        <w:tc>
          <w:tcPr>
            <w:tcW w:w="7156" w:type="dxa"/>
            <w:shd w:val="clear" w:color="auto" w:fill="auto"/>
          </w:tcPr>
          <w:p w14:paraId="59964BB4" w14:textId="77777777" w:rsidR="006711AA" w:rsidRPr="002530D2" w:rsidRDefault="006711AA" w:rsidP="006711AA">
            <w:pPr>
              <w:overflowPunct w:val="0"/>
              <w:autoSpaceDE w:val="0"/>
              <w:rPr>
                <w:rFonts w:cs="Arial"/>
                <w:sz w:val="20"/>
                <w:szCs w:val="20"/>
                <w:lang w:eastAsia="zh-CN"/>
              </w:rPr>
            </w:pPr>
            <w:r w:rsidRPr="002530D2">
              <w:rPr>
                <w:rFonts w:cs="Arial"/>
                <w:sz w:val="20"/>
                <w:szCs w:val="20"/>
                <w:lang w:eastAsia="zh-CN"/>
              </w:rPr>
              <w:t>MIG</w:t>
            </w:r>
          </w:p>
        </w:tc>
      </w:tr>
      <w:tr w:rsidR="006711AA" w:rsidRPr="004A2951" w14:paraId="200351F6" w14:textId="77777777" w:rsidTr="006711AA">
        <w:tc>
          <w:tcPr>
            <w:tcW w:w="2055" w:type="dxa"/>
            <w:tcBorders>
              <w:bottom w:val="nil"/>
            </w:tcBorders>
            <w:shd w:val="clear" w:color="auto" w:fill="auto"/>
          </w:tcPr>
          <w:p w14:paraId="27DC9DF4" w14:textId="77777777" w:rsidR="006711AA" w:rsidRPr="006D78C2" w:rsidRDefault="006711AA" w:rsidP="006711AA">
            <w:pPr>
              <w:overflowPunct w:val="0"/>
              <w:autoSpaceDE w:val="0"/>
              <w:rPr>
                <w:rFonts w:cs="Arial"/>
                <w:b/>
                <w:sz w:val="20"/>
                <w:szCs w:val="20"/>
                <w:lang w:eastAsia="zh-CN"/>
              </w:rPr>
            </w:pPr>
            <w:r w:rsidRPr="006D78C2">
              <w:rPr>
                <w:rFonts w:cs="Arial"/>
                <w:b/>
                <w:sz w:val="20"/>
                <w:szCs w:val="20"/>
                <w:lang w:eastAsia="zh-CN"/>
              </w:rPr>
              <w:t>Identifier</w:t>
            </w:r>
          </w:p>
        </w:tc>
        <w:tc>
          <w:tcPr>
            <w:tcW w:w="7156" w:type="dxa"/>
            <w:tcBorders>
              <w:bottom w:val="nil"/>
            </w:tcBorders>
            <w:shd w:val="clear" w:color="auto" w:fill="auto"/>
          </w:tcPr>
          <w:p w14:paraId="55A46D56" w14:textId="7625D237" w:rsidR="006711AA" w:rsidRPr="002530D2" w:rsidRDefault="006711AA" w:rsidP="006D0852">
            <w:pPr>
              <w:overflowPunct w:val="0"/>
              <w:autoSpaceDE w:val="0"/>
              <w:rPr>
                <w:rFonts w:cs="Arial"/>
                <w:b/>
                <w:sz w:val="20"/>
                <w:szCs w:val="20"/>
                <w:lang w:eastAsia="zh-CN"/>
              </w:rPr>
            </w:pPr>
            <w:r w:rsidRPr="002530D2">
              <w:rPr>
                <w:rFonts w:cs="Arial"/>
                <w:b/>
                <w:sz w:val="20"/>
                <w:szCs w:val="20"/>
                <w:lang w:eastAsia="zh-CN"/>
              </w:rPr>
              <w:t>MIG/</w:t>
            </w:r>
            <w:r>
              <w:rPr>
                <w:rFonts w:cs="Arial"/>
                <w:b/>
                <w:sz w:val="20"/>
                <w:szCs w:val="20"/>
                <w:lang w:eastAsia="zh-CN"/>
              </w:rPr>
              <w:t>10</w:t>
            </w:r>
            <w:r w:rsidRPr="002530D2">
              <w:rPr>
                <w:rFonts w:cs="Arial"/>
                <w:b/>
                <w:sz w:val="20"/>
                <w:szCs w:val="20"/>
                <w:lang w:eastAsia="zh-CN"/>
              </w:rPr>
              <w:t>/201</w:t>
            </w:r>
            <w:r>
              <w:rPr>
                <w:rFonts w:cs="Arial"/>
                <w:b/>
                <w:sz w:val="20"/>
                <w:szCs w:val="20"/>
                <w:lang w:eastAsia="zh-CN"/>
              </w:rPr>
              <w:t>9</w:t>
            </w:r>
            <w:r w:rsidRPr="002530D2">
              <w:rPr>
                <w:rFonts w:cs="Arial"/>
                <w:b/>
                <w:sz w:val="20"/>
                <w:szCs w:val="20"/>
                <w:lang w:eastAsia="zh-CN"/>
              </w:rPr>
              <w:t>/DOC</w:t>
            </w:r>
            <w:r w:rsidR="006D0852">
              <w:rPr>
                <w:rFonts w:cs="Arial"/>
                <w:b/>
                <w:sz w:val="20"/>
                <w:szCs w:val="20"/>
                <w:lang w:eastAsia="zh-CN"/>
              </w:rPr>
              <w:t>6</w:t>
            </w:r>
          </w:p>
        </w:tc>
      </w:tr>
      <w:tr w:rsidR="006711AA" w:rsidRPr="00EE61F0" w14:paraId="4B6816DC" w14:textId="77777777" w:rsidTr="006711AA">
        <w:tc>
          <w:tcPr>
            <w:tcW w:w="2055" w:type="dxa"/>
            <w:tcBorders>
              <w:top w:val="nil"/>
              <w:bottom w:val="single" w:sz="4" w:space="0" w:color="auto"/>
            </w:tcBorders>
            <w:shd w:val="clear" w:color="auto" w:fill="auto"/>
          </w:tcPr>
          <w:p w14:paraId="3A6C1C6A" w14:textId="77777777" w:rsidR="006711AA" w:rsidRPr="00C74368" w:rsidRDefault="006711AA" w:rsidP="006711AA">
            <w:pPr>
              <w:rPr>
                <w:rFonts w:cs="Arial"/>
                <w:sz w:val="20"/>
                <w:szCs w:val="20"/>
                <w:lang w:eastAsia="zh-CN"/>
              </w:rPr>
            </w:pPr>
            <w:r w:rsidRPr="00C74368">
              <w:rPr>
                <w:rFonts w:cs="Arial"/>
                <w:sz w:val="20"/>
                <w:szCs w:val="20"/>
                <w:lang w:eastAsia="zh-CN"/>
              </w:rPr>
              <w:t>Description</w:t>
            </w:r>
          </w:p>
        </w:tc>
        <w:tc>
          <w:tcPr>
            <w:tcW w:w="7156" w:type="dxa"/>
            <w:tcBorders>
              <w:top w:val="nil"/>
              <w:bottom w:val="single" w:sz="4" w:space="0" w:color="auto"/>
            </w:tcBorders>
            <w:shd w:val="clear" w:color="auto" w:fill="auto"/>
          </w:tcPr>
          <w:p w14:paraId="608AE460" w14:textId="15C39E86" w:rsidR="006711AA" w:rsidRPr="002530D2" w:rsidRDefault="006711AA" w:rsidP="00130960">
            <w:pPr>
              <w:rPr>
                <w:rFonts w:cs="Arial"/>
                <w:sz w:val="20"/>
                <w:szCs w:val="20"/>
                <w:lang w:eastAsia="zh-CN"/>
              </w:rPr>
            </w:pPr>
            <w:r w:rsidRPr="002530D2">
              <w:rPr>
                <w:rFonts w:cs="Arial"/>
                <w:sz w:val="20"/>
                <w:szCs w:val="20"/>
                <w:lang w:eastAsia="zh-CN"/>
              </w:rPr>
              <w:t xml:space="preserve">This document </w:t>
            </w:r>
            <w:r w:rsidR="006D0852">
              <w:rPr>
                <w:rFonts w:cs="Arial"/>
                <w:sz w:val="20"/>
                <w:szCs w:val="20"/>
                <w:lang w:eastAsia="zh-CN"/>
              </w:rPr>
              <w:t xml:space="preserve">is prepared by the MIG subgroup for MIWP action 2018.1 “Monitoring and Reporting 2019” in collaboration with the EC and EEA INSPIRE team. This document provides further guidance for the calculation of the monitoring indicators based on the definitions laid down in the </w:t>
            </w:r>
            <w:r w:rsidR="00130960">
              <w:rPr>
                <w:rFonts w:cs="Arial"/>
                <w:sz w:val="20"/>
                <w:szCs w:val="20"/>
                <w:lang w:eastAsia="zh-CN"/>
              </w:rPr>
              <w:t xml:space="preserve">Commission </w:t>
            </w:r>
            <w:r w:rsidR="006D0852">
              <w:rPr>
                <w:rFonts w:cs="Arial"/>
                <w:sz w:val="20"/>
                <w:szCs w:val="20"/>
                <w:lang w:eastAsia="zh-CN"/>
              </w:rPr>
              <w:t xml:space="preserve"> Decision</w:t>
            </w:r>
            <w:r w:rsidR="00130960">
              <w:rPr>
                <w:rFonts w:cs="Arial"/>
                <w:sz w:val="20"/>
                <w:szCs w:val="20"/>
                <w:lang w:eastAsia="zh-CN"/>
              </w:rPr>
              <w:t xml:space="preserve"> </w:t>
            </w:r>
            <w:r w:rsidR="00130960" w:rsidRPr="00130960">
              <w:rPr>
                <w:rFonts w:cs="Arial"/>
                <w:color w:val="FF0000"/>
                <w:sz w:val="20"/>
                <w:szCs w:val="20"/>
                <w:lang w:eastAsia="zh-CN"/>
              </w:rPr>
              <w:t>[XXX]</w:t>
            </w:r>
            <w:r w:rsidR="00130960">
              <w:rPr>
                <w:rFonts w:cs="Arial"/>
                <w:color w:val="FF0000"/>
                <w:sz w:val="20"/>
                <w:szCs w:val="20"/>
                <w:lang w:eastAsia="zh-CN"/>
              </w:rPr>
              <w:t xml:space="preserve">. </w:t>
            </w:r>
            <w:r w:rsidR="00130960" w:rsidRPr="00130960">
              <w:rPr>
                <w:rFonts w:cs="Arial"/>
                <w:sz w:val="20"/>
                <w:szCs w:val="20"/>
                <w:lang w:eastAsia="zh-CN"/>
              </w:rPr>
              <w:t>This document will be used to guide the further implementation of the new monitoring and reporting process.</w:t>
            </w:r>
            <w:r w:rsidR="00130960">
              <w:rPr>
                <w:rFonts w:cs="Arial"/>
                <w:color w:val="FF0000"/>
                <w:sz w:val="20"/>
                <w:szCs w:val="20"/>
                <w:lang w:eastAsia="zh-CN"/>
              </w:rPr>
              <w:t xml:space="preserve">   </w:t>
            </w:r>
            <w:r w:rsidR="00130960" w:rsidRPr="00130960">
              <w:rPr>
                <w:rFonts w:cs="Arial"/>
                <w:sz w:val="20"/>
                <w:szCs w:val="20"/>
                <w:lang w:eastAsia="zh-CN"/>
              </w:rPr>
              <w:t xml:space="preserve">  </w:t>
            </w:r>
          </w:p>
        </w:tc>
      </w:tr>
      <w:tr w:rsidR="006711AA" w:rsidRPr="00EE61F0" w14:paraId="0B63AAA5" w14:textId="77777777" w:rsidTr="006711AA">
        <w:trPr>
          <w:trHeight w:val="60"/>
        </w:trPr>
        <w:tc>
          <w:tcPr>
            <w:tcW w:w="2055" w:type="dxa"/>
            <w:tcBorders>
              <w:top w:val="single" w:sz="4" w:space="0" w:color="auto"/>
              <w:bottom w:val="single" w:sz="4" w:space="0" w:color="auto"/>
            </w:tcBorders>
            <w:shd w:val="clear" w:color="auto" w:fill="auto"/>
          </w:tcPr>
          <w:p w14:paraId="7341C38B" w14:textId="77777777" w:rsidR="006711AA" w:rsidRPr="006D78C2" w:rsidRDefault="006711AA" w:rsidP="006711AA">
            <w:pPr>
              <w:overflowPunct w:val="0"/>
              <w:autoSpaceDE w:val="0"/>
              <w:rPr>
                <w:rFonts w:cs="Arial"/>
                <w:b/>
                <w:sz w:val="20"/>
                <w:szCs w:val="20"/>
                <w:lang w:eastAsia="zh-CN"/>
              </w:rPr>
            </w:pPr>
            <w:r>
              <w:rPr>
                <w:rFonts w:cs="Arial"/>
                <w:b/>
                <w:sz w:val="20"/>
                <w:szCs w:val="20"/>
                <w:lang w:eastAsia="zh-CN"/>
              </w:rPr>
              <w:t>A</w:t>
            </w:r>
            <w:r w:rsidRPr="00C74368">
              <w:rPr>
                <w:rFonts w:cs="Arial"/>
                <w:b/>
                <w:sz w:val="20"/>
                <w:szCs w:val="20"/>
                <w:lang w:eastAsia="zh-CN"/>
              </w:rPr>
              <w:t>ctions:</w:t>
            </w:r>
          </w:p>
        </w:tc>
        <w:tc>
          <w:tcPr>
            <w:tcW w:w="7156" w:type="dxa"/>
            <w:tcBorders>
              <w:top w:val="single" w:sz="4" w:space="0" w:color="auto"/>
              <w:bottom w:val="single" w:sz="4" w:space="0" w:color="auto"/>
            </w:tcBorders>
            <w:shd w:val="clear" w:color="auto" w:fill="auto"/>
          </w:tcPr>
          <w:p w14:paraId="3CF7B298" w14:textId="77777777" w:rsidR="006711AA" w:rsidRPr="002530D2" w:rsidRDefault="006711AA" w:rsidP="006711AA">
            <w:pPr>
              <w:rPr>
                <w:rFonts w:cs="Arial"/>
                <w:sz w:val="20"/>
                <w:szCs w:val="20"/>
                <w:lang w:eastAsia="zh-CN"/>
              </w:rPr>
            </w:pPr>
            <w:r w:rsidRPr="002530D2">
              <w:rPr>
                <w:rFonts w:cs="Arial"/>
                <w:sz w:val="20"/>
                <w:szCs w:val="20"/>
                <w:lang w:eastAsia="zh-CN"/>
              </w:rPr>
              <w:t>MIG to:</w:t>
            </w:r>
          </w:p>
          <w:p w14:paraId="4B2ED951" w14:textId="3BCF30DD" w:rsidR="006711AA" w:rsidRPr="00130960" w:rsidRDefault="006711AA" w:rsidP="008B4545">
            <w:pPr>
              <w:numPr>
                <w:ilvl w:val="0"/>
                <w:numId w:val="24"/>
              </w:numPr>
              <w:suppressAutoHyphens/>
              <w:overflowPunct w:val="0"/>
              <w:autoSpaceDE w:val="0"/>
              <w:spacing w:line="276" w:lineRule="auto"/>
              <w:ind w:left="360"/>
              <w:contextualSpacing/>
              <w:textAlignment w:val="baseline"/>
              <w:rPr>
                <w:rFonts w:cs="Arial"/>
                <w:sz w:val="20"/>
                <w:szCs w:val="20"/>
                <w:lang w:eastAsia="zh-CN"/>
              </w:rPr>
            </w:pPr>
            <w:r w:rsidRPr="006D0852">
              <w:rPr>
                <w:rFonts w:cs="Arial"/>
                <w:sz w:val="20"/>
                <w:szCs w:val="20"/>
                <w:lang w:eastAsia="zh-CN"/>
              </w:rPr>
              <w:t>Take note of the document</w:t>
            </w:r>
            <w:r w:rsidR="006D0852" w:rsidRPr="006D0852">
              <w:rPr>
                <w:rFonts w:cs="Arial"/>
                <w:sz w:val="20"/>
                <w:szCs w:val="20"/>
                <w:lang w:eastAsia="zh-CN"/>
              </w:rPr>
              <w:t xml:space="preserve"> and discuss </w:t>
            </w:r>
            <w:r w:rsidRPr="006D0852">
              <w:rPr>
                <w:rFonts w:cs="Arial"/>
                <w:sz w:val="20"/>
                <w:szCs w:val="20"/>
                <w:lang w:eastAsia="zh-CN"/>
              </w:rPr>
              <w:t>at the 10</w:t>
            </w:r>
            <w:r w:rsidRPr="00130960">
              <w:rPr>
                <w:rFonts w:cs="Arial"/>
                <w:sz w:val="20"/>
                <w:szCs w:val="20"/>
                <w:lang w:eastAsia="zh-CN"/>
              </w:rPr>
              <w:t>th</w:t>
            </w:r>
            <w:r w:rsidRPr="006D0852">
              <w:rPr>
                <w:rFonts w:cs="Arial"/>
                <w:sz w:val="20"/>
                <w:szCs w:val="20"/>
                <w:lang w:eastAsia="zh-CN"/>
              </w:rPr>
              <w:t xml:space="preserve"> meeting of the MIG. </w:t>
            </w:r>
          </w:p>
          <w:p w14:paraId="48EB713A" w14:textId="654F9836" w:rsidR="006D0852" w:rsidRPr="002530D2" w:rsidRDefault="006D0852" w:rsidP="006711AA">
            <w:pPr>
              <w:numPr>
                <w:ilvl w:val="0"/>
                <w:numId w:val="24"/>
              </w:numPr>
              <w:suppressAutoHyphens/>
              <w:overflowPunct w:val="0"/>
              <w:autoSpaceDE w:val="0"/>
              <w:spacing w:line="276" w:lineRule="auto"/>
              <w:ind w:left="360"/>
              <w:contextualSpacing/>
              <w:textAlignment w:val="baseline"/>
              <w:rPr>
                <w:lang w:eastAsia="zh-CN"/>
              </w:rPr>
            </w:pPr>
            <w:r w:rsidRPr="00130960">
              <w:rPr>
                <w:rFonts w:cs="Arial"/>
                <w:sz w:val="20"/>
                <w:szCs w:val="20"/>
                <w:lang w:eastAsia="zh-CN"/>
              </w:rPr>
              <w:t>Endorse the document</w:t>
            </w:r>
            <w:r w:rsidR="00130960" w:rsidRPr="00130960">
              <w:rPr>
                <w:rFonts w:cs="Arial"/>
                <w:sz w:val="20"/>
                <w:szCs w:val="20"/>
                <w:lang w:eastAsia="zh-CN"/>
              </w:rPr>
              <w:t xml:space="preserve"> at the 10th meeting of the MIG</w:t>
            </w:r>
            <w:r w:rsidRPr="00130960">
              <w:rPr>
                <w:rFonts w:cs="Arial"/>
                <w:sz w:val="20"/>
                <w:szCs w:val="20"/>
                <w:lang w:eastAsia="zh-CN"/>
              </w:rPr>
              <w:t>.</w:t>
            </w:r>
          </w:p>
        </w:tc>
      </w:tr>
    </w:tbl>
    <w:p w14:paraId="099636FD" w14:textId="77777777" w:rsidR="006711AA" w:rsidRPr="00EE61F0" w:rsidRDefault="006711AA" w:rsidP="006711AA">
      <w:r w:rsidRPr="00EE61F0">
        <w:br w:type="page"/>
      </w:r>
    </w:p>
    <w:p w14:paraId="288B987F" w14:textId="77777777" w:rsidR="001A1EFA" w:rsidRDefault="001A1EFA" w:rsidP="001A1EFA">
      <w:pPr>
        <w:rPr>
          <w:lang w:eastAsia="da-DK"/>
        </w:rPr>
      </w:pPr>
    </w:p>
    <w:p w14:paraId="0E66109D" w14:textId="77777777" w:rsidR="001A1EFA" w:rsidRDefault="001A1EFA" w:rsidP="001A1EFA">
      <w:pPr>
        <w:rPr>
          <w:lang w:eastAsia="da-DK"/>
        </w:rPr>
      </w:pPr>
    </w:p>
    <w:p w14:paraId="74F5CE03" w14:textId="77777777" w:rsidR="00672237" w:rsidRPr="00CB755B" w:rsidRDefault="00672237" w:rsidP="00672237">
      <w:pPr>
        <w:pStyle w:val="Cover-title3"/>
      </w:pPr>
    </w:p>
    <w:p w14:paraId="6DF955CD" w14:textId="7A8EF17E" w:rsidR="00672237" w:rsidRPr="00C6730C" w:rsidRDefault="006C3395" w:rsidP="006D0852">
      <w:pPr>
        <w:pStyle w:val="Title"/>
        <w:rPr>
          <w:sz w:val="44"/>
          <w:lang w:val="en-GB"/>
        </w:rPr>
      </w:pPr>
      <w:r w:rsidRPr="00C6730C">
        <w:rPr>
          <w:sz w:val="44"/>
          <w:lang w:val="en-GB"/>
        </w:rPr>
        <w:t xml:space="preserve">Guidance document </w:t>
      </w:r>
      <w:r w:rsidR="006D0852" w:rsidRPr="00C6730C">
        <w:rPr>
          <w:sz w:val="44"/>
          <w:lang w:val="en-GB"/>
        </w:rPr>
        <w:t xml:space="preserve">for calculation of indicators </w:t>
      </w:r>
      <w:r w:rsidRPr="00C6730C">
        <w:rPr>
          <w:sz w:val="44"/>
          <w:lang w:val="en-GB"/>
        </w:rPr>
        <w:t xml:space="preserve">in support </w:t>
      </w:r>
      <w:r w:rsidR="006711AA" w:rsidRPr="00C6730C">
        <w:rPr>
          <w:sz w:val="44"/>
          <w:lang w:val="en-GB"/>
        </w:rPr>
        <w:t>of</w:t>
      </w:r>
      <w:r w:rsidR="006D0852" w:rsidRPr="00C6730C">
        <w:rPr>
          <w:sz w:val="44"/>
          <w:lang w:val="en-GB"/>
        </w:rPr>
        <w:t xml:space="preserve"> </w:t>
      </w:r>
      <w:r w:rsidRPr="00C6730C">
        <w:rPr>
          <w:sz w:val="44"/>
          <w:lang w:val="en-GB"/>
        </w:rPr>
        <w:t>Commission Decision</w:t>
      </w:r>
      <w:r w:rsidR="006711AA" w:rsidRPr="00C6730C">
        <w:rPr>
          <w:sz w:val="44"/>
          <w:lang w:val="en-GB"/>
        </w:rPr>
        <w:t xml:space="preserve"> </w:t>
      </w:r>
      <w:r w:rsidR="006711AA" w:rsidRPr="00C6730C">
        <w:rPr>
          <w:color w:val="FF0000"/>
          <w:sz w:val="44"/>
          <w:lang w:val="en-GB"/>
        </w:rPr>
        <w:t>[XXX]</w:t>
      </w:r>
      <w:r w:rsidRPr="00C6730C">
        <w:rPr>
          <w:sz w:val="44"/>
          <w:lang w:val="en-GB"/>
        </w:rPr>
        <w:t xml:space="preserve"> implementing Directive 2007/2/EC (INSPIRE) as regards monitoring and reporting.</w:t>
      </w:r>
    </w:p>
    <w:p w14:paraId="115D8D2A" w14:textId="77777777" w:rsidR="00672237" w:rsidRPr="00BF09DA" w:rsidRDefault="00672237" w:rsidP="00672237">
      <w:pPr>
        <w:rPr>
          <w:lang w:eastAsia="da-DK"/>
        </w:rPr>
      </w:pPr>
    </w:p>
    <w:p w14:paraId="0747C47E" w14:textId="6F0665B7" w:rsidR="00890719" w:rsidRPr="00890719" w:rsidRDefault="00890719" w:rsidP="000B3D4B">
      <w:pPr>
        <w:rPr>
          <w:lang w:eastAsia="da-DK"/>
        </w:rPr>
      </w:pPr>
    </w:p>
    <w:p w14:paraId="6749B7B7" w14:textId="77777777" w:rsidR="00672237" w:rsidRPr="00CB755B" w:rsidRDefault="00672237" w:rsidP="000C430A">
      <w:pPr>
        <w:pStyle w:val="Cover-title2"/>
        <w:ind w:left="284"/>
        <w:jc w:val="left"/>
      </w:pPr>
      <w:r w:rsidRPr="00CB755B">
        <w:t>Version history</w:t>
      </w:r>
    </w:p>
    <w:p w14:paraId="1219CC30" w14:textId="77777777" w:rsidR="00672237" w:rsidRPr="00BF09DA" w:rsidRDefault="00672237" w:rsidP="00672237">
      <w:pPr>
        <w:rPr>
          <w:lang w:eastAsia="da-DK"/>
        </w:rPr>
      </w:pPr>
    </w:p>
    <w:tbl>
      <w:tblPr>
        <w:tblW w:w="460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1419"/>
        <w:gridCol w:w="2549"/>
        <w:gridCol w:w="2694"/>
        <w:gridCol w:w="1415"/>
      </w:tblGrid>
      <w:tr w:rsidR="000C430A" w:rsidRPr="00886172" w14:paraId="1A355C16" w14:textId="77777777" w:rsidTr="007C5563">
        <w:trPr>
          <w:trHeight w:val="387"/>
          <w:tblHeader/>
        </w:trPr>
        <w:tc>
          <w:tcPr>
            <w:tcW w:w="548" w:type="pct"/>
            <w:tcBorders>
              <w:bottom w:val="nil"/>
            </w:tcBorders>
            <w:shd w:val="pct10" w:color="auto" w:fill="FFFFFF"/>
          </w:tcPr>
          <w:p w14:paraId="02BB05B6" w14:textId="77777777" w:rsidR="00672237" w:rsidRPr="00014685" w:rsidRDefault="00672237" w:rsidP="00014685">
            <w:pPr>
              <w:spacing w:before="40" w:after="40"/>
              <w:rPr>
                <w:rFonts w:cs="Arial"/>
                <w:sz w:val="18"/>
              </w:rPr>
            </w:pPr>
            <w:r w:rsidRPr="00014685">
              <w:rPr>
                <w:rFonts w:cs="Arial"/>
                <w:sz w:val="18"/>
              </w:rPr>
              <w:t>Version</w:t>
            </w:r>
          </w:p>
        </w:tc>
        <w:tc>
          <w:tcPr>
            <w:tcW w:w="782" w:type="pct"/>
            <w:tcBorders>
              <w:bottom w:val="nil"/>
            </w:tcBorders>
            <w:shd w:val="pct10" w:color="auto" w:fill="FFFFFF"/>
          </w:tcPr>
          <w:p w14:paraId="5BD6DA67" w14:textId="77777777" w:rsidR="00672237" w:rsidRPr="00014685" w:rsidRDefault="00672237" w:rsidP="00014685">
            <w:pPr>
              <w:spacing w:before="40" w:after="40"/>
              <w:rPr>
                <w:rFonts w:cs="Arial"/>
                <w:sz w:val="18"/>
              </w:rPr>
            </w:pPr>
            <w:r w:rsidRPr="00014685">
              <w:rPr>
                <w:rFonts w:cs="Arial"/>
                <w:sz w:val="18"/>
              </w:rPr>
              <w:t>Date</w:t>
            </w:r>
          </w:p>
        </w:tc>
        <w:tc>
          <w:tcPr>
            <w:tcW w:w="1405" w:type="pct"/>
            <w:tcBorders>
              <w:bottom w:val="nil"/>
            </w:tcBorders>
            <w:shd w:val="pct10" w:color="auto" w:fill="FFFFFF"/>
          </w:tcPr>
          <w:p w14:paraId="5C857F9B" w14:textId="77777777" w:rsidR="00672237" w:rsidRPr="00014685" w:rsidRDefault="00672237" w:rsidP="00014685">
            <w:pPr>
              <w:spacing w:before="40" w:after="40"/>
              <w:rPr>
                <w:rFonts w:cs="Arial"/>
                <w:sz w:val="18"/>
              </w:rPr>
            </w:pPr>
            <w:r w:rsidRPr="00014685">
              <w:rPr>
                <w:rFonts w:cs="Arial"/>
                <w:sz w:val="18"/>
              </w:rPr>
              <w:t>Author</w:t>
            </w:r>
          </w:p>
        </w:tc>
        <w:tc>
          <w:tcPr>
            <w:tcW w:w="1485" w:type="pct"/>
            <w:tcBorders>
              <w:bottom w:val="nil"/>
            </w:tcBorders>
            <w:shd w:val="pct10" w:color="auto" w:fill="FFFFFF"/>
          </w:tcPr>
          <w:p w14:paraId="087D3427" w14:textId="77777777" w:rsidR="00672237" w:rsidRPr="00014685" w:rsidRDefault="00672237" w:rsidP="00014685">
            <w:pPr>
              <w:spacing w:before="40" w:after="40"/>
              <w:rPr>
                <w:rFonts w:cs="Arial"/>
                <w:sz w:val="18"/>
              </w:rPr>
            </w:pPr>
            <w:r w:rsidRPr="00014685">
              <w:rPr>
                <w:rFonts w:cs="Arial"/>
                <w:sz w:val="18"/>
              </w:rPr>
              <w:t>Status and description</w:t>
            </w:r>
          </w:p>
        </w:tc>
        <w:tc>
          <w:tcPr>
            <w:tcW w:w="780" w:type="pct"/>
            <w:tcBorders>
              <w:bottom w:val="nil"/>
            </w:tcBorders>
            <w:shd w:val="pct10" w:color="auto" w:fill="FFFFFF"/>
          </w:tcPr>
          <w:p w14:paraId="464683A6" w14:textId="77777777" w:rsidR="00672237" w:rsidRPr="00014685" w:rsidRDefault="00672237" w:rsidP="00014685">
            <w:pPr>
              <w:spacing w:before="40" w:after="40"/>
              <w:rPr>
                <w:rFonts w:cs="Arial"/>
                <w:sz w:val="18"/>
              </w:rPr>
            </w:pPr>
            <w:r w:rsidRPr="00014685">
              <w:rPr>
                <w:rFonts w:cs="Arial"/>
                <w:sz w:val="18"/>
              </w:rPr>
              <w:t>Distribution</w:t>
            </w:r>
          </w:p>
        </w:tc>
      </w:tr>
      <w:tr w:rsidR="000C430A" w:rsidRPr="00886172" w14:paraId="3F944F23" w14:textId="77777777" w:rsidTr="007C5563">
        <w:trPr>
          <w:trHeight w:val="584"/>
        </w:trPr>
        <w:tc>
          <w:tcPr>
            <w:tcW w:w="548" w:type="pct"/>
          </w:tcPr>
          <w:p w14:paraId="0C1A773C" w14:textId="2BD55FAC" w:rsidR="00672237" w:rsidRPr="00014685" w:rsidRDefault="005A17B6" w:rsidP="00014685">
            <w:pPr>
              <w:spacing w:before="40" w:after="40"/>
              <w:rPr>
                <w:rFonts w:cs="Arial"/>
                <w:sz w:val="18"/>
              </w:rPr>
            </w:pPr>
            <w:r w:rsidRPr="00014685">
              <w:rPr>
                <w:rFonts w:cs="Arial"/>
                <w:sz w:val="18"/>
              </w:rPr>
              <w:t>0</w:t>
            </w:r>
            <w:r w:rsidR="00881496" w:rsidRPr="00014685">
              <w:rPr>
                <w:rFonts w:cs="Arial"/>
                <w:sz w:val="18"/>
              </w:rPr>
              <w:t>.1</w:t>
            </w:r>
          </w:p>
        </w:tc>
        <w:tc>
          <w:tcPr>
            <w:tcW w:w="782" w:type="pct"/>
          </w:tcPr>
          <w:p w14:paraId="6E5CF7F5" w14:textId="753DBB2E" w:rsidR="00672237" w:rsidRPr="00014685" w:rsidRDefault="006C3395" w:rsidP="00014685">
            <w:pPr>
              <w:spacing w:before="40" w:after="40"/>
              <w:rPr>
                <w:rFonts w:cs="Arial"/>
                <w:sz w:val="18"/>
              </w:rPr>
            </w:pPr>
            <w:r w:rsidRPr="00014685">
              <w:rPr>
                <w:rFonts w:cs="Arial"/>
                <w:sz w:val="18"/>
              </w:rPr>
              <w:t>04/09</w:t>
            </w:r>
            <w:r w:rsidR="001E5A09" w:rsidRPr="00014685">
              <w:rPr>
                <w:rFonts w:cs="Arial"/>
                <w:sz w:val="18"/>
              </w:rPr>
              <w:t>/2019</w:t>
            </w:r>
          </w:p>
        </w:tc>
        <w:tc>
          <w:tcPr>
            <w:tcW w:w="1405" w:type="pct"/>
          </w:tcPr>
          <w:p w14:paraId="7FA176EC" w14:textId="39D2A0A8" w:rsidR="00672237" w:rsidRPr="00115772" w:rsidRDefault="00881496" w:rsidP="00014685">
            <w:pPr>
              <w:spacing w:before="40" w:after="40"/>
              <w:rPr>
                <w:sz w:val="18"/>
              </w:rPr>
            </w:pPr>
            <w:r w:rsidRPr="00115772">
              <w:rPr>
                <w:sz w:val="18"/>
              </w:rPr>
              <w:t xml:space="preserve">Vlado </w:t>
            </w:r>
            <w:proofErr w:type="spellStart"/>
            <w:r w:rsidRPr="00115772">
              <w:rPr>
                <w:sz w:val="18"/>
              </w:rPr>
              <w:t>Cetl</w:t>
            </w:r>
            <w:proofErr w:type="spellEnd"/>
            <w:r w:rsidR="006C3395" w:rsidRPr="00115772">
              <w:rPr>
                <w:sz w:val="18"/>
              </w:rPr>
              <w:t>, Robert Tomas, Michael Lutz</w:t>
            </w:r>
            <w:r w:rsidR="00C25C7C" w:rsidRPr="00115772">
              <w:rPr>
                <w:sz w:val="18"/>
              </w:rPr>
              <w:t xml:space="preserve">, Angelo </w:t>
            </w:r>
            <w:proofErr w:type="spellStart"/>
            <w:r w:rsidR="00C25C7C" w:rsidRPr="00115772">
              <w:rPr>
                <w:sz w:val="18"/>
              </w:rPr>
              <w:t>Quaglia</w:t>
            </w:r>
            <w:proofErr w:type="spellEnd"/>
            <w:r w:rsidRPr="00115772">
              <w:rPr>
                <w:sz w:val="18"/>
              </w:rPr>
              <w:t xml:space="preserve"> (JRC</w:t>
            </w:r>
            <w:r w:rsidR="00572D6B" w:rsidRPr="00115772">
              <w:rPr>
                <w:sz w:val="18"/>
              </w:rPr>
              <w:t>)</w:t>
            </w:r>
          </w:p>
        </w:tc>
        <w:tc>
          <w:tcPr>
            <w:tcW w:w="1485" w:type="pct"/>
          </w:tcPr>
          <w:p w14:paraId="705C44ED" w14:textId="15977D9F" w:rsidR="00672237" w:rsidRPr="00014685" w:rsidRDefault="00572D6B" w:rsidP="00014685">
            <w:pPr>
              <w:spacing w:before="40" w:after="40"/>
              <w:rPr>
                <w:rFonts w:cs="Arial"/>
                <w:sz w:val="18"/>
              </w:rPr>
            </w:pPr>
            <w:r w:rsidRPr="00014685">
              <w:rPr>
                <w:rFonts w:cs="Arial"/>
                <w:sz w:val="18"/>
              </w:rPr>
              <w:t xml:space="preserve">First version </w:t>
            </w:r>
          </w:p>
        </w:tc>
        <w:tc>
          <w:tcPr>
            <w:tcW w:w="780" w:type="pct"/>
          </w:tcPr>
          <w:p w14:paraId="1ECD286B" w14:textId="31B1B0B2" w:rsidR="00672237" w:rsidRPr="00014685" w:rsidRDefault="000B3D4B" w:rsidP="00014685">
            <w:pPr>
              <w:spacing w:before="40" w:after="40"/>
              <w:rPr>
                <w:rFonts w:cs="Arial"/>
                <w:sz w:val="18"/>
              </w:rPr>
            </w:pPr>
            <w:r w:rsidRPr="00014685">
              <w:rPr>
                <w:rFonts w:cs="Arial"/>
                <w:sz w:val="18"/>
              </w:rPr>
              <w:t>Internal</w:t>
            </w:r>
          </w:p>
        </w:tc>
      </w:tr>
      <w:tr w:rsidR="00881496" w:rsidRPr="00886172" w14:paraId="5735CDE0" w14:textId="77777777" w:rsidTr="007C5563">
        <w:trPr>
          <w:trHeight w:val="584"/>
        </w:trPr>
        <w:tc>
          <w:tcPr>
            <w:tcW w:w="548" w:type="pct"/>
          </w:tcPr>
          <w:p w14:paraId="618C59DD" w14:textId="7557EC05" w:rsidR="00881496" w:rsidRPr="00014685" w:rsidRDefault="007C5563" w:rsidP="00014685">
            <w:pPr>
              <w:spacing w:before="40" w:after="40"/>
              <w:rPr>
                <w:rFonts w:cs="Arial"/>
                <w:sz w:val="18"/>
              </w:rPr>
            </w:pPr>
            <w:r w:rsidRPr="00014685">
              <w:rPr>
                <w:rFonts w:cs="Arial"/>
                <w:sz w:val="18"/>
              </w:rPr>
              <w:t>0.2</w:t>
            </w:r>
          </w:p>
        </w:tc>
        <w:tc>
          <w:tcPr>
            <w:tcW w:w="782" w:type="pct"/>
          </w:tcPr>
          <w:p w14:paraId="60605A63" w14:textId="2E0A9EC4" w:rsidR="00881496" w:rsidRPr="00014685" w:rsidRDefault="007C5563" w:rsidP="00014685">
            <w:pPr>
              <w:spacing w:before="40" w:after="40"/>
              <w:rPr>
                <w:rFonts w:cs="Arial"/>
                <w:sz w:val="18"/>
              </w:rPr>
            </w:pPr>
            <w:r w:rsidRPr="00014685">
              <w:rPr>
                <w:rFonts w:cs="Arial"/>
                <w:sz w:val="18"/>
              </w:rPr>
              <w:t>05/24/2019</w:t>
            </w:r>
          </w:p>
        </w:tc>
        <w:tc>
          <w:tcPr>
            <w:tcW w:w="1405" w:type="pct"/>
          </w:tcPr>
          <w:p w14:paraId="6B785F67" w14:textId="4423C731" w:rsidR="00881496" w:rsidRPr="00115772" w:rsidRDefault="007C5563" w:rsidP="00014685">
            <w:pPr>
              <w:spacing w:before="40" w:after="40"/>
              <w:rPr>
                <w:sz w:val="18"/>
              </w:rPr>
            </w:pPr>
            <w:r w:rsidRPr="00115772">
              <w:rPr>
                <w:sz w:val="18"/>
              </w:rPr>
              <w:t xml:space="preserve">Vlado </w:t>
            </w:r>
            <w:proofErr w:type="spellStart"/>
            <w:r w:rsidRPr="00115772">
              <w:rPr>
                <w:sz w:val="18"/>
              </w:rPr>
              <w:t>Cetl</w:t>
            </w:r>
            <w:proofErr w:type="spellEnd"/>
            <w:r w:rsidRPr="00115772">
              <w:rPr>
                <w:sz w:val="18"/>
              </w:rPr>
              <w:t xml:space="preserve">, Robert Tomas, Michael Lutz, Angelo </w:t>
            </w:r>
            <w:proofErr w:type="spellStart"/>
            <w:r w:rsidRPr="00115772">
              <w:rPr>
                <w:sz w:val="18"/>
              </w:rPr>
              <w:t>Quaglia</w:t>
            </w:r>
            <w:proofErr w:type="spellEnd"/>
            <w:r w:rsidRPr="00115772">
              <w:rPr>
                <w:sz w:val="18"/>
              </w:rPr>
              <w:t xml:space="preserve"> (JRC)</w:t>
            </w:r>
          </w:p>
        </w:tc>
        <w:tc>
          <w:tcPr>
            <w:tcW w:w="1485" w:type="pct"/>
          </w:tcPr>
          <w:p w14:paraId="03F0F1A6" w14:textId="0E9F0DB9" w:rsidR="00881496" w:rsidRPr="00014685" w:rsidRDefault="007C5563" w:rsidP="00014685">
            <w:pPr>
              <w:spacing w:before="40" w:after="40"/>
              <w:rPr>
                <w:rFonts w:cs="Arial"/>
                <w:sz w:val="18"/>
              </w:rPr>
            </w:pPr>
            <w:r w:rsidRPr="00014685">
              <w:rPr>
                <w:rFonts w:cs="Arial"/>
                <w:sz w:val="18"/>
              </w:rPr>
              <w:t>Second version</w:t>
            </w:r>
          </w:p>
        </w:tc>
        <w:tc>
          <w:tcPr>
            <w:tcW w:w="780" w:type="pct"/>
          </w:tcPr>
          <w:p w14:paraId="4D733144" w14:textId="33EDDA7E" w:rsidR="00881496" w:rsidRPr="00014685" w:rsidRDefault="007C5563" w:rsidP="00014685">
            <w:pPr>
              <w:spacing w:before="40" w:after="40"/>
              <w:rPr>
                <w:rFonts w:cs="Arial"/>
                <w:sz w:val="18"/>
              </w:rPr>
            </w:pPr>
            <w:r w:rsidRPr="00014685">
              <w:rPr>
                <w:rFonts w:cs="Arial"/>
                <w:sz w:val="18"/>
              </w:rPr>
              <w:t>Internal</w:t>
            </w:r>
          </w:p>
        </w:tc>
      </w:tr>
      <w:tr w:rsidR="00881496" w:rsidRPr="00886172" w14:paraId="1AB5266B" w14:textId="77777777" w:rsidTr="00014685">
        <w:trPr>
          <w:trHeight w:val="289"/>
        </w:trPr>
        <w:tc>
          <w:tcPr>
            <w:tcW w:w="548" w:type="pct"/>
          </w:tcPr>
          <w:p w14:paraId="677184F5" w14:textId="5E8102EA" w:rsidR="00881496" w:rsidRPr="00014685" w:rsidRDefault="00E919FE" w:rsidP="00014685">
            <w:pPr>
              <w:spacing w:before="40" w:after="40"/>
              <w:rPr>
                <w:rFonts w:cs="Arial"/>
                <w:sz w:val="18"/>
              </w:rPr>
            </w:pPr>
            <w:r w:rsidRPr="00014685">
              <w:rPr>
                <w:rFonts w:cs="Arial"/>
                <w:sz w:val="18"/>
              </w:rPr>
              <w:t>0.3</w:t>
            </w:r>
          </w:p>
        </w:tc>
        <w:tc>
          <w:tcPr>
            <w:tcW w:w="782" w:type="pct"/>
          </w:tcPr>
          <w:p w14:paraId="0906A0F2" w14:textId="70A3FF2B" w:rsidR="00881496" w:rsidRPr="00014685" w:rsidRDefault="00E919FE" w:rsidP="00014685">
            <w:pPr>
              <w:spacing w:before="40" w:after="40"/>
              <w:rPr>
                <w:rFonts w:cs="Arial"/>
                <w:sz w:val="18"/>
              </w:rPr>
            </w:pPr>
            <w:r w:rsidRPr="00014685">
              <w:rPr>
                <w:rFonts w:cs="Arial"/>
                <w:sz w:val="18"/>
              </w:rPr>
              <w:t>05/29/2019</w:t>
            </w:r>
          </w:p>
        </w:tc>
        <w:tc>
          <w:tcPr>
            <w:tcW w:w="1405" w:type="pct"/>
          </w:tcPr>
          <w:p w14:paraId="5E5913A4" w14:textId="6849C1FD" w:rsidR="00881496" w:rsidRPr="00014685" w:rsidRDefault="00E919FE" w:rsidP="00014685">
            <w:pPr>
              <w:spacing w:before="40" w:after="40"/>
              <w:rPr>
                <w:rFonts w:cs="Arial"/>
                <w:sz w:val="18"/>
              </w:rPr>
            </w:pPr>
            <w:r w:rsidRPr="00014685">
              <w:rPr>
                <w:rFonts w:cs="Arial"/>
                <w:sz w:val="18"/>
              </w:rPr>
              <w:t>Joeri Robbrecht</w:t>
            </w:r>
          </w:p>
        </w:tc>
        <w:tc>
          <w:tcPr>
            <w:tcW w:w="1485" w:type="pct"/>
          </w:tcPr>
          <w:p w14:paraId="1A536F78" w14:textId="1878AB21" w:rsidR="00881496" w:rsidRPr="00014685" w:rsidRDefault="00E919FE" w:rsidP="00014685">
            <w:pPr>
              <w:spacing w:before="40" w:after="40"/>
              <w:rPr>
                <w:rFonts w:cs="Arial"/>
                <w:sz w:val="18"/>
              </w:rPr>
            </w:pPr>
            <w:r w:rsidRPr="00014685">
              <w:rPr>
                <w:rFonts w:cs="Arial"/>
                <w:sz w:val="18"/>
              </w:rPr>
              <w:t>Third version</w:t>
            </w:r>
          </w:p>
        </w:tc>
        <w:tc>
          <w:tcPr>
            <w:tcW w:w="780" w:type="pct"/>
          </w:tcPr>
          <w:p w14:paraId="0DE80FDC" w14:textId="2877D6D0" w:rsidR="00881496" w:rsidRPr="00014685" w:rsidRDefault="00E919FE" w:rsidP="00014685">
            <w:pPr>
              <w:spacing w:before="40" w:after="40"/>
              <w:rPr>
                <w:rFonts w:cs="Arial"/>
                <w:sz w:val="18"/>
              </w:rPr>
            </w:pPr>
            <w:r w:rsidRPr="00014685">
              <w:rPr>
                <w:rFonts w:cs="Arial"/>
                <w:sz w:val="18"/>
              </w:rPr>
              <w:t>Internal</w:t>
            </w:r>
          </w:p>
        </w:tc>
      </w:tr>
      <w:tr w:rsidR="00886172" w:rsidRPr="00886172" w14:paraId="76C8BD07" w14:textId="77777777" w:rsidTr="00886172">
        <w:trPr>
          <w:trHeight w:val="289"/>
        </w:trPr>
        <w:tc>
          <w:tcPr>
            <w:tcW w:w="548" w:type="pct"/>
          </w:tcPr>
          <w:p w14:paraId="7E3AFE50" w14:textId="0959EFC2" w:rsidR="00886172" w:rsidRPr="00886172" w:rsidRDefault="00886172" w:rsidP="00886172">
            <w:pPr>
              <w:spacing w:before="40" w:after="40"/>
              <w:rPr>
                <w:rFonts w:cs="Arial"/>
                <w:sz w:val="18"/>
              </w:rPr>
            </w:pPr>
            <w:r>
              <w:rPr>
                <w:rFonts w:cs="Arial"/>
                <w:sz w:val="18"/>
              </w:rPr>
              <w:t>0.4</w:t>
            </w:r>
          </w:p>
        </w:tc>
        <w:tc>
          <w:tcPr>
            <w:tcW w:w="782" w:type="pct"/>
          </w:tcPr>
          <w:p w14:paraId="383B4810" w14:textId="1A2A7CC0" w:rsidR="00886172" w:rsidRPr="00886172" w:rsidRDefault="00886172" w:rsidP="00886172">
            <w:pPr>
              <w:spacing w:before="40" w:after="40"/>
              <w:rPr>
                <w:rFonts w:cs="Arial"/>
                <w:sz w:val="18"/>
              </w:rPr>
            </w:pPr>
            <w:r>
              <w:rPr>
                <w:rFonts w:cs="Arial"/>
                <w:sz w:val="18"/>
              </w:rPr>
              <w:t>06/03</w:t>
            </w:r>
            <w:r w:rsidR="00014685">
              <w:rPr>
                <w:rFonts w:cs="Arial"/>
                <w:sz w:val="18"/>
              </w:rPr>
              <w:t>/</w:t>
            </w:r>
            <w:r>
              <w:rPr>
                <w:rFonts w:cs="Arial"/>
                <w:sz w:val="18"/>
              </w:rPr>
              <w:t>2019</w:t>
            </w:r>
          </w:p>
        </w:tc>
        <w:tc>
          <w:tcPr>
            <w:tcW w:w="1405" w:type="pct"/>
          </w:tcPr>
          <w:p w14:paraId="5548512C" w14:textId="28035AD3" w:rsidR="00886172" w:rsidRPr="00886172" w:rsidRDefault="00886172" w:rsidP="00886172">
            <w:pPr>
              <w:spacing w:before="40" w:after="40"/>
              <w:rPr>
                <w:rFonts w:cs="Arial"/>
                <w:sz w:val="18"/>
              </w:rPr>
            </w:pPr>
            <w:r w:rsidRPr="00886172">
              <w:rPr>
                <w:rFonts w:cs="Arial"/>
                <w:sz w:val="18"/>
              </w:rPr>
              <w:t xml:space="preserve">Vlado </w:t>
            </w:r>
            <w:proofErr w:type="spellStart"/>
            <w:r w:rsidRPr="00886172">
              <w:rPr>
                <w:rFonts w:cs="Arial"/>
                <w:sz w:val="18"/>
              </w:rPr>
              <w:t>Cetl</w:t>
            </w:r>
            <w:proofErr w:type="spellEnd"/>
            <w:r w:rsidRPr="00886172">
              <w:rPr>
                <w:rFonts w:cs="Arial"/>
                <w:sz w:val="18"/>
              </w:rPr>
              <w:t>, Robert Tomas</w:t>
            </w:r>
            <w:r>
              <w:rPr>
                <w:rFonts w:cs="Arial"/>
                <w:sz w:val="18"/>
              </w:rPr>
              <w:t xml:space="preserve">, </w:t>
            </w:r>
            <w:r w:rsidRPr="00CE7809">
              <w:rPr>
                <w:rFonts w:cs="Arial"/>
                <w:sz w:val="18"/>
              </w:rPr>
              <w:t>Joeri Robbrecht</w:t>
            </w:r>
            <w:r>
              <w:rPr>
                <w:rFonts w:cs="Arial"/>
                <w:sz w:val="18"/>
              </w:rPr>
              <w:t>, Jose Miguel</w:t>
            </w:r>
            <w:r w:rsidR="00343ED8">
              <w:rPr>
                <w:rFonts w:cs="Arial"/>
                <w:sz w:val="18"/>
              </w:rPr>
              <w:t xml:space="preserve"> Rubio</w:t>
            </w:r>
          </w:p>
        </w:tc>
        <w:tc>
          <w:tcPr>
            <w:tcW w:w="1485" w:type="pct"/>
          </w:tcPr>
          <w:p w14:paraId="525EEA23" w14:textId="772D89C1" w:rsidR="00886172" w:rsidRPr="00886172" w:rsidRDefault="00886172" w:rsidP="00886172">
            <w:pPr>
              <w:spacing w:before="40" w:after="40"/>
              <w:rPr>
                <w:rFonts w:cs="Arial"/>
                <w:sz w:val="18"/>
              </w:rPr>
            </w:pPr>
            <w:r>
              <w:rPr>
                <w:rFonts w:cs="Arial"/>
                <w:sz w:val="18"/>
              </w:rPr>
              <w:t>Forth version</w:t>
            </w:r>
          </w:p>
        </w:tc>
        <w:tc>
          <w:tcPr>
            <w:tcW w:w="780" w:type="pct"/>
          </w:tcPr>
          <w:p w14:paraId="1E4922CC" w14:textId="296081E5" w:rsidR="00886172" w:rsidRPr="00886172" w:rsidRDefault="00886172" w:rsidP="00886172">
            <w:pPr>
              <w:spacing w:before="40" w:after="40"/>
              <w:rPr>
                <w:rFonts w:cs="Arial"/>
                <w:sz w:val="18"/>
              </w:rPr>
            </w:pPr>
            <w:r>
              <w:rPr>
                <w:rFonts w:cs="Arial"/>
                <w:sz w:val="18"/>
              </w:rPr>
              <w:t>Internal</w:t>
            </w:r>
          </w:p>
        </w:tc>
      </w:tr>
      <w:tr w:rsidR="00014685" w:rsidRPr="00886172" w14:paraId="4259B52C" w14:textId="77777777" w:rsidTr="00886172">
        <w:trPr>
          <w:trHeight w:val="289"/>
        </w:trPr>
        <w:tc>
          <w:tcPr>
            <w:tcW w:w="548" w:type="pct"/>
          </w:tcPr>
          <w:p w14:paraId="1A8066D6" w14:textId="6D11C6B4" w:rsidR="00014685" w:rsidRDefault="00014685" w:rsidP="00886172">
            <w:pPr>
              <w:spacing w:before="40" w:after="40"/>
              <w:rPr>
                <w:rFonts w:cs="Arial"/>
                <w:sz w:val="18"/>
              </w:rPr>
            </w:pPr>
            <w:r>
              <w:rPr>
                <w:rFonts w:cs="Arial"/>
                <w:sz w:val="18"/>
              </w:rPr>
              <w:t>0.5</w:t>
            </w:r>
          </w:p>
        </w:tc>
        <w:tc>
          <w:tcPr>
            <w:tcW w:w="782" w:type="pct"/>
          </w:tcPr>
          <w:p w14:paraId="4AF5D28B" w14:textId="2082ADD0" w:rsidR="00014685" w:rsidRDefault="00014685" w:rsidP="00886172">
            <w:pPr>
              <w:spacing w:before="40" w:after="40"/>
              <w:rPr>
                <w:rFonts w:cs="Arial"/>
                <w:sz w:val="18"/>
              </w:rPr>
            </w:pPr>
            <w:r>
              <w:rPr>
                <w:rFonts w:cs="Arial"/>
                <w:sz w:val="18"/>
              </w:rPr>
              <w:t>06/06/2019</w:t>
            </w:r>
          </w:p>
        </w:tc>
        <w:tc>
          <w:tcPr>
            <w:tcW w:w="1405" w:type="pct"/>
          </w:tcPr>
          <w:p w14:paraId="539AFE2E" w14:textId="0D3018CB" w:rsidR="00014685" w:rsidRPr="00886172" w:rsidRDefault="00014685" w:rsidP="00886172">
            <w:pPr>
              <w:spacing w:before="40" w:after="40"/>
              <w:rPr>
                <w:rFonts w:cs="Arial"/>
                <w:sz w:val="18"/>
              </w:rPr>
            </w:pPr>
            <w:r w:rsidRPr="00886172">
              <w:rPr>
                <w:rFonts w:cs="Arial"/>
                <w:sz w:val="18"/>
              </w:rPr>
              <w:t xml:space="preserve">Vlado </w:t>
            </w:r>
            <w:proofErr w:type="spellStart"/>
            <w:r w:rsidRPr="00886172">
              <w:rPr>
                <w:rFonts w:cs="Arial"/>
                <w:sz w:val="18"/>
              </w:rPr>
              <w:t>Cetl</w:t>
            </w:r>
            <w:proofErr w:type="spellEnd"/>
            <w:r w:rsidRPr="00886172">
              <w:rPr>
                <w:rFonts w:cs="Arial"/>
                <w:sz w:val="18"/>
              </w:rPr>
              <w:t>, Robert Tomas</w:t>
            </w:r>
            <w:r>
              <w:rPr>
                <w:rFonts w:cs="Arial"/>
                <w:sz w:val="18"/>
              </w:rPr>
              <w:t xml:space="preserve">, </w:t>
            </w:r>
            <w:r w:rsidRPr="00CE7809">
              <w:rPr>
                <w:rFonts w:cs="Arial"/>
                <w:sz w:val="18"/>
              </w:rPr>
              <w:t>Joeri Robbrecht</w:t>
            </w:r>
            <w:r>
              <w:rPr>
                <w:rFonts w:cs="Arial"/>
                <w:sz w:val="18"/>
              </w:rPr>
              <w:t>, Jose Miguel</w:t>
            </w:r>
            <w:r w:rsidR="00343ED8">
              <w:rPr>
                <w:rFonts w:cs="Arial"/>
                <w:sz w:val="18"/>
              </w:rPr>
              <w:t xml:space="preserve"> Rubio</w:t>
            </w:r>
          </w:p>
        </w:tc>
        <w:tc>
          <w:tcPr>
            <w:tcW w:w="1485" w:type="pct"/>
          </w:tcPr>
          <w:p w14:paraId="7C1602D3" w14:textId="65274F94" w:rsidR="00014685" w:rsidRDefault="00014685" w:rsidP="00886172">
            <w:pPr>
              <w:spacing w:before="40" w:after="40"/>
              <w:rPr>
                <w:rFonts w:cs="Arial"/>
                <w:sz w:val="18"/>
              </w:rPr>
            </w:pPr>
            <w:r>
              <w:rPr>
                <w:rFonts w:cs="Arial"/>
                <w:sz w:val="18"/>
              </w:rPr>
              <w:t>Fifth version</w:t>
            </w:r>
          </w:p>
        </w:tc>
        <w:tc>
          <w:tcPr>
            <w:tcW w:w="780" w:type="pct"/>
          </w:tcPr>
          <w:p w14:paraId="737749DE" w14:textId="543183FC" w:rsidR="00014685" w:rsidRDefault="00014685" w:rsidP="00886172">
            <w:pPr>
              <w:spacing w:before="40" w:after="40"/>
              <w:rPr>
                <w:rFonts w:cs="Arial"/>
                <w:sz w:val="18"/>
              </w:rPr>
            </w:pPr>
            <w:r>
              <w:rPr>
                <w:rFonts w:cs="Arial"/>
                <w:sz w:val="18"/>
              </w:rPr>
              <w:t>Internal</w:t>
            </w:r>
          </w:p>
        </w:tc>
      </w:tr>
      <w:tr w:rsidR="0071767E" w:rsidRPr="00886172" w14:paraId="68431344" w14:textId="77777777" w:rsidTr="00886172">
        <w:trPr>
          <w:trHeight w:val="289"/>
        </w:trPr>
        <w:tc>
          <w:tcPr>
            <w:tcW w:w="548" w:type="pct"/>
          </w:tcPr>
          <w:p w14:paraId="498912E0" w14:textId="6ED993A2" w:rsidR="0071767E" w:rsidRDefault="0071767E" w:rsidP="00886172">
            <w:pPr>
              <w:spacing w:before="40" w:after="40"/>
              <w:rPr>
                <w:rFonts w:cs="Arial"/>
                <w:sz w:val="18"/>
              </w:rPr>
            </w:pPr>
            <w:r>
              <w:rPr>
                <w:rFonts w:cs="Arial"/>
                <w:sz w:val="18"/>
              </w:rPr>
              <w:t>0.6</w:t>
            </w:r>
          </w:p>
        </w:tc>
        <w:tc>
          <w:tcPr>
            <w:tcW w:w="782" w:type="pct"/>
          </w:tcPr>
          <w:p w14:paraId="2AA5F31E" w14:textId="0D07976B" w:rsidR="0071767E" w:rsidRDefault="0071767E" w:rsidP="00886172">
            <w:pPr>
              <w:spacing w:before="40" w:after="40"/>
              <w:rPr>
                <w:rFonts w:cs="Arial"/>
                <w:sz w:val="18"/>
              </w:rPr>
            </w:pPr>
            <w:r>
              <w:rPr>
                <w:rFonts w:cs="Arial"/>
                <w:sz w:val="18"/>
              </w:rPr>
              <w:t>06/06/2019</w:t>
            </w:r>
          </w:p>
        </w:tc>
        <w:tc>
          <w:tcPr>
            <w:tcW w:w="1405" w:type="pct"/>
          </w:tcPr>
          <w:p w14:paraId="3B6C9446" w14:textId="25277D6F" w:rsidR="0071767E" w:rsidRPr="00886172" w:rsidRDefault="0071767E" w:rsidP="00886172">
            <w:pPr>
              <w:spacing w:before="40" w:after="40"/>
              <w:rPr>
                <w:rFonts w:cs="Arial"/>
                <w:sz w:val="18"/>
              </w:rPr>
            </w:pPr>
            <w:r w:rsidRPr="00886172">
              <w:rPr>
                <w:rFonts w:cs="Arial"/>
                <w:sz w:val="18"/>
              </w:rPr>
              <w:t xml:space="preserve">Vlado </w:t>
            </w:r>
            <w:proofErr w:type="spellStart"/>
            <w:r w:rsidRPr="00886172">
              <w:rPr>
                <w:rFonts w:cs="Arial"/>
                <w:sz w:val="18"/>
              </w:rPr>
              <w:t>Cetl</w:t>
            </w:r>
            <w:proofErr w:type="spellEnd"/>
            <w:r w:rsidRPr="00886172">
              <w:rPr>
                <w:rFonts w:cs="Arial"/>
                <w:sz w:val="18"/>
              </w:rPr>
              <w:t>, Robert Tomas</w:t>
            </w:r>
            <w:r>
              <w:rPr>
                <w:rFonts w:cs="Arial"/>
                <w:sz w:val="18"/>
              </w:rPr>
              <w:t xml:space="preserve">, </w:t>
            </w:r>
            <w:r w:rsidRPr="00CE7809">
              <w:rPr>
                <w:rFonts w:cs="Arial"/>
                <w:sz w:val="18"/>
              </w:rPr>
              <w:t>Joeri Robbrecht</w:t>
            </w:r>
            <w:r>
              <w:rPr>
                <w:rFonts w:cs="Arial"/>
                <w:sz w:val="18"/>
              </w:rPr>
              <w:t>, Jose Miguel</w:t>
            </w:r>
            <w:r w:rsidR="00343ED8">
              <w:rPr>
                <w:rFonts w:cs="Arial"/>
                <w:sz w:val="18"/>
              </w:rPr>
              <w:t xml:space="preserve"> Rubio</w:t>
            </w:r>
          </w:p>
        </w:tc>
        <w:tc>
          <w:tcPr>
            <w:tcW w:w="1485" w:type="pct"/>
          </w:tcPr>
          <w:p w14:paraId="4F811B1E" w14:textId="729D67F6" w:rsidR="0071767E" w:rsidRDefault="0071767E" w:rsidP="00886172">
            <w:pPr>
              <w:spacing w:before="40" w:after="40"/>
              <w:rPr>
                <w:rFonts w:cs="Arial"/>
                <w:sz w:val="18"/>
              </w:rPr>
            </w:pPr>
            <w:r>
              <w:rPr>
                <w:rFonts w:cs="Arial"/>
                <w:sz w:val="18"/>
              </w:rPr>
              <w:t>Sixth version</w:t>
            </w:r>
            <w:r w:rsidR="00897DED">
              <w:rPr>
                <w:rFonts w:cs="Arial"/>
                <w:sz w:val="18"/>
              </w:rPr>
              <w:t xml:space="preserve"> </w:t>
            </w:r>
          </w:p>
        </w:tc>
        <w:tc>
          <w:tcPr>
            <w:tcW w:w="780" w:type="pct"/>
          </w:tcPr>
          <w:p w14:paraId="26FA3800" w14:textId="78EFE4AC" w:rsidR="0071767E" w:rsidRDefault="0071767E" w:rsidP="00886172">
            <w:pPr>
              <w:spacing w:before="40" w:after="40"/>
              <w:rPr>
                <w:rFonts w:cs="Arial"/>
                <w:sz w:val="18"/>
              </w:rPr>
            </w:pPr>
            <w:r>
              <w:rPr>
                <w:rFonts w:cs="Arial"/>
                <w:sz w:val="18"/>
              </w:rPr>
              <w:t>Internal</w:t>
            </w:r>
          </w:p>
        </w:tc>
      </w:tr>
      <w:tr w:rsidR="00115772" w:rsidRPr="00115772" w14:paraId="2C6A4805" w14:textId="77777777" w:rsidTr="00886172">
        <w:trPr>
          <w:trHeight w:val="289"/>
        </w:trPr>
        <w:tc>
          <w:tcPr>
            <w:tcW w:w="548" w:type="pct"/>
          </w:tcPr>
          <w:p w14:paraId="62E6AA26" w14:textId="7FFA37A2" w:rsidR="00115772" w:rsidRDefault="00115772" w:rsidP="00886172">
            <w:pPr>
              <w:spacing w:before="40" w:after="40"/>
              <w:rPr>
                <w:rFonts w:cs="Arial"/>
                <w:sz w:val="18"/>
              </w:rPr>
            </w:pPr>
            <w:r>
              <w:rPr>
                <w:rFonts w:cs="Arial"/>
                <w:sz w:val="18"/>
              </w:rPr>
              <w:t>1.0</w:t>
            </w:r>
          </w:p>
        </w:tc>
        <w:tc>
          <w:tcPr>
            <w:tcW w:w="782" w:type="pct"/>
          </w:tcPr>
          <w:p w14:paraId="461A69D1" w14:textId="73D8F08C" w:rsidR="00115772" w:rsidRDefault="00115772" w:rsidP="00115772">
            <w:pPr>
              <w:spacing w:before="40" w:after="40"/>
              <w:rPr>
                <w:rFonts w:cs="Arial"/>
                <w:sz w:val="18"/>
              </w:rPr>
            </w:pPr>
            <w:r>
              <w:rPr>
                <w:rFonts w:cs="Arial"/>
                <w:sz w:val="18"/>
              </w:rPr>
              <w:t>06/07/2019</w:t>
            </w:r>
          </w:p>
        </w:tc>
        <w:tc>
          <w:tcPr>
            <w:tcW w:w="1405" w:type="pct"/>
          </w:tcPr>
          <w:p w14:paraId="7E5A53FC" w14:textId="736CCE5B" w:rsidR="00115772" w:rsidRPr="00115772" w:rsidRDefault="00115772" w:rsidP="00115772">
            <w:pPr>
              <w:spacing w:before="40" w:after="40"/>
              <w:rPr>
                <w:rFonts w:cs="Arial"/>
                <w:sz w:val="18"/>
              </w:rPr>
            </w:pPr>
            <w:r w:rsidRPr="00115772">
              <w:rPr>
                <w:rFonts w:cs="Arial"/>
                <w:sz w:val="18"/>
              </w:rPr>
              <w:t xml:space="preserve">Vlado </w:t>
            </w:r>
            <w:proofErr w:type="spellStart"/>
            <w:r w:rsidRPr="00115772">
              <w:rPr>
                <w:rFonts w:cs="Arial"/>
                <w:sz w:val="18"/>
              </w:rPr>
              <w:t>Cetl</w:t>
            </w:r>
            <w:proofErr w:type="spellEnd"/>
            <w:r w:rsidRPr="00115772">
              <w:rPr>
                <w:rFonts w:cs="Arial"/>
                <w:sz w:val="18"/>
              </w:rPr>
              <w:t xml:space="preserve">, </w:t>
            </w:r>
            <w:r w:rsidR="00003C42">
              <w:rPr>
                <w:rFonts w:cs="Arial"/>
                <w:sz w:val="18"/>
              </w:rPr>
              <w:t xml:space="preserve">Robert Tomas, </w:t>
            </w:r>
            <w:r w:rsidRPr="00115772">
              <w:rPr>
                <w:rFonts w:cs="Arial"/>
                <w:sz w:val="18"/>
              </w:rPr>
              <w:t xml:space="preserve">Joeri Robbrecht, Jose Miguel Rubio, Marco </w:t>
            </w:r>
            <w:proofErr w:type="spellStart"/>
            <w:r w:rsidRPr="00115772">
              <w:rPr>
                <w:rFonts w:cs="Arial"/>
                <w:sz w:val="18"/>
              </w:rPr>
              <w:t>Minghini</w:t>
            </w:r>
            <w:proofErr w:type="spellEnd"/>
          </w:p>
        </w:tc>
        <w:tc>
          <w:tcPr>
            <w:tcW w:w="1485" w:type="pct"/>
          </w:tcPr>
          <w:p w14:paraId="6A54DB50" w14:textId="7BD90017" w:rsidR="00115772" w:rsidRPr="00115772" w:rsidRDefault="00115772" w:rsidP="00886172">
            <w:pPr>
              <w:spacing w:before="40" w:after="40"/>
              <w:rPr>
                <w:rFonts w:cs="Arial"/>
                <w:sz w:val="18"/>
              </w:rPr>
            </w:pPr>
            <w:r>
              <w:rPr>
                <w:rFonts w:cs="Arial"/>
                <w:sz w:val="18"/>
              </w:rPr>
              <w:t xml:space="preserve">Version 1.0 for distribution to the MIG. </w:t>
            </w:r>
          </w:p>
        </w:tc>
        <w:tc>
          <w:tcPr>
            <w:tcW w:w="780" w:type="pct"/>
          </w:tcPr>
          <w:p w14:paraId="546E7423" w14:textId="524096F1" w:rsidR="00115772" w:rsidRPr="00115772" w:rsidRDefault="00115772" w:rsidP="00886172">
            <w:pPr>
              <w:spacing w:before="40" w:after="40"/>
              <w:rPr>
                <w:rFonts w:cs="Arial"/>
                <w:sz w:val="18"/>
              </w:rPr>
            </w:pPr>
            <w:r>
              <w:rPr>
                <w:rFonts w:cs="Arial"/>
                <w:sz w:val="18"/>
              </w:rPr>
              <w:t>External</w:t>
            </w:r>
          </w:p>
        </w:tc>
      </w:tr>
    </w:tbl>
    <w:p w14:paraId="7AB67C01" w14:textId="77777777" w:rsidR="00672237" w:rsidRPr="00115772" w:rsidRDefault="00672237" w:rsidP="00A5656B"/>
    <w:p w14:paraId="45C03689" w14:textId="77777777" w:rsidR="00D02E78" w:rsidRPr="00115772" w:rsidRDefault="00D02E78">
      <w:pPr>
        <w:sectPr w:rsidR="00D02E78" w:rsidRPr="00115772" w:rsidSect="006F274E">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cols w:space="720"/>
          <w:titlePg/>
          <w:docGrid w:linePitch="326"/>
        </w:sectPr>
      </w:pPr>
    </w:p>
    <w:p w14:paraId="33F0EC08" w14:textId="21C99230" w:rsidR="002F3F0A" w:rsidRDefault="001C6C24" w:rsidP="00117187">
      <w:pPr>
        <w:rPr>
          <w:b/>
          <w:sz w:val="28"/>
        </w:rPr>
      </w:pPr>
      <w:r w:rsidRPr="00117187">
        <w:rPr>
          <w:b/>
          <w:sz w:val="28"/>
        </w:rPr>
        <w:lastRenderedPageBreak/>
        <w:t>Table of Contents</w:t>
      </w:r>
    </w:p>
    <w:p w14:paraId="4CF9F7D4" w14:textId="77777777" w:rsidR="00117187" w:rsidRPr="00117187" w:rsidRDefault="00117187" w:rsidP="00117187">
      <w:pPr>
        <w:rPr>
          <w:b/>
          <w:sz w:val="28"/>
        </w:rPr>
      </w:pPr>
    </w:p>
    <w:sdt>
      <w:sdtPr>
        <w:rPr>
          <w:rFonts w:ascii="Times New Roman" w:hAnsi="Times New Roman"/>
          <w:b w:val="0"/>
          <w:bCs w:val="0"/>
          <w:caps w:val="0"/>
          <w:sz w:val="22"/>
        </w:rPr>
        <w:id w:val="-364291083"/>
        <w:docPartObj>
          <w:docPartGallery w:val="Table of Contents"/>
          <w:docPartUnique/>
        </w:docPartObj>
      </w:sdtPr>
      <w:sdtEndPr>
        <w:rPr>
          <w:rFonts w:ascii="Arial" w:hAnsi="Arial" w:cs="Arial"/>
          <w:noProof/>
        </w:rPr>
      </w:sdtEndPr>
      <w:sdtContent>
        <w:p w14:paraId="2E6EB119" w14:textId="77777777" w:rsidR="0000253B" w:rsidRDefault="002F3F0A">
          <w:pPr>
            <w:pStyle w:val="TOC1"/>
            <w:rPr>
              <w:rFonts w:asciiTheme="minorHAnsi" w:eastAsiaTheme="minorEastAsia" w:hAnsiTheme="minorHAnsi" w:cstheme="minorBidi"/>
              <w:b w:val="0"/>
              <w:bCs w:val="0"/>
              <w:caps w:val="0"/>
              <w:noProof/>
              <w:color w:val="auto"/>
              <w:sz w:val="22"/>
              <w:szCs w:val="22"/>
              <w:lang w:eastAsia="en-GB"/>
            </w:rPr>
          </w:pPr>
          <w:r w:rsidRPr="002F3F0A">
            <w:rPr>
              <w:rFonts w:ascii="Arial" w:eastAsiaTheme="majorEastAsia" w:hAnsi="Arial" w:cs="Arial"/>
              <w:b w:val="0"/>
              <w:bCs w:val="0"/>
              <w:color w:val="365F91" w:themeColor="accent1" w:themeShade="BF"/>
              <w:sz w:val="32"/>
              <w:szCs w:val="32"/>
              <w:lang w:val="en-US"/>
            </w:rPr>
            <w:fldChar w:fldCharType="begin"/>
          </w:r>
          <w:r w:rsidRPr="002F3F0A">
            <w:rPr>
              <w:rFonts w:ascii="Arial" w:hAnsi="Arial" w:cs="Arial"/>
            </w:rPr>
            <w:instrText xml:space="preserve"> TOC \o "1-3" \h \z \u </w:instrText>
          </w:r>
          <w:r w:rsidRPr="002F3F0A">
            <w:rPr>
              <w:rFonts w:ascii="Arial" w:eastAsiaTheme="majorEastAsia" w:hAnsi="Arial" w:cs="Arial"/>
              <w:b w:val="0"/>
              <w:bCs w:val="0"/>
              <w:color w:val="365F91" w:themeColor="accent1" w:themeShade="BF"/>
              <w:sz w:val="32"/>
              <w:szCs w:val="32"/>
              <w:lang w:val="en-US"/>
            </w:rPr>
            <w:fldChar w:fldCharType="separate"/>
          </w:r>
          <w:hyperlink w:anchor="_Toc10807199" w:history="1">
            <w:r w:rsidR="0000253B" w:rsidRPr="00986F5E">
              <w:rPr>
                <w:rStyle w:val="Hyperlink"/>
                <w:rFonts w:cs="Calibri"/>
                <w:noProof/>
              </w:rPr>
              <w:t>1.</w:t>
            </w:r>
            <w:r w:rsidR="0000253B">
              <w:rPr>
                <w:rFonts w:asciiTheme="minorHAnsi" w:eastAsiaTheme="minorEastAsia" w:hAnsiTheme="minorHAnsi" w:cstheme="minorBidi"/>
                <w:b w:val="0"/>
                <w:bCs w:val="0"/>
                <w:caps w:val="0"/>
                <w:noProof/>
                <w:color w:val="auto"/>
                <w:sz w:val="22"/>
                <w:szCs w:val="22"/>
                <w:lang w:eastAsia="en-GB"/>
              </w:rPr>
              <w:tab/>
            </w:r>
            <w:r w:rsidR="0000253B" w:rsidRPr="00986F5E">
              <w:rPr>
                <w:rStyle w:val="Hyperlink"/>
                <w:rFonts w:cs="Calibri"/>
                <w:noProof/>
              </w:rPr>
              <w:t>Introduction</w:t>
            </w:r>
            <w:r w:rsidR="0000253B">
              <w:rPr>
                <w:noProof/>
                <w:webHidden/>
              </w:rPr>
              <w:tab/>
            </w:r>
            <w:r w:rsidR="0000253B">
              <w:rPr>
                <w:noProof/>
                <w:webHidden/>
              </w:rPr>
              <w:fldChar w:fldCharType="begin"/>
            </w:r>
            <w:r w:rsidR="0000253B">
              <w:rPr>
                <w:noProof/>
                <w:webHidden/>
              </w:rPr>
              <w:instrText xml:space="preserve"> PAGEREF _Toc10807199 \h </w:instrText>
            </w:r>
            <w:r w:rsidR="0000253B">
              <w:rPr>
                <w:noProof/>
                <w:webHidden/>
              </w:rPr>
            </w:r>
            <w:r w:rsidR="0000253B">
              <w:rPr>
                <w:noProof/>
                <w:webHidden/>
              </w:rPr>
              <w:fldChar w:fldCharType="separate"/>
            </w:r>
            <w:r w:rsidR="0000253B">
              <w:rPr>
                <w:noProof/>
                <w:webHidden/>
              </w:rPr>
              <w:t>5</w:t>
            </w:r>
            <w:r w:rsidR="0000253B">
              <w:rPr>
                <w:noProof/>
                <w:webHidden/>
              </w:rPr>
              <w:fldChar w:fldCharType="end"/>
            </w:r>
          </w:hyperlink>
        </w:p>
        <w:p w14:paraId="678CCB8B" w14:textId="77777777" w:rsidR="0000253B" w:rsidRDefault="0000253B">
          <w:pPr>
            <w:pStyle w:val="TOC1"/>
            <w:rPr>
              <w:rFonts w:asciiTheme="minorHAnsi" w:eastAsiaTheme="minorEastAsia" w:hAnsiTheme="minorHAnsi" w:cstheme="minorBidi"/>
              <w:b w:val="0"/>
              <w:bCs w:val="0"/>
              <w:caps w:val="0"/>
              <w:noProof/>
              <w:color w:val="auto"/>
              <w:sz w:val="22"/>
              <w:szCs w:val="22"/>
              <w:lang w:eastAsia="en-GB"/>
            </w:rPr>
          </w:pPr>
          <w:hyperlink w:anchor="_Toc10807200" w:history="1">
            <w:r w:rsidRPr="00986F5E">
              <w:rPr>
                <w:rStyle w:val="Hyperlink"/>
                <w:rFonts w:cs="Calibri"/>
                <w:noProof/>
              </w:rPr>
              <w:t>2.</w:t>
            </w:r>
            <w:r>
              <w:rPr>
                <w:rFonts w:asciiTheme="minorHAnsi" w:eastAsiaTheme="minorEastAsia" w:hAnsiTheme="minorHAnsi" w:cstheme="minorBidi"/>
                <w:b w:val="0"/>
                <w:bCs w:val="0"/>
                <w:caps w:val="0"/>
                <w:noProof/>
                <w:color w:val="auto"/>
                <w:sz w:val="22"/>
                <w:szCs w:val="22"/>
                <w:lang w:eastAsia="en-GB"/>
              </w:rPr>
              <w:tab/>
            </w:r>
            <w:r w:rsidRPr="00986F5E">
              <w:rPr>
                <w:rStyle w:val="Hyperlink"/>
                <w:rFonts w:cs="Calibri"/>
                <w:noProof/>
              </w:rPr>
              <w:t>Overview of indicators</w:t>
            </w:r>
            <w:r>
              <w:rPr>
                <w:noProof/>
                <w:webHidden/>
              </w:rPr>
              <w:tab/>
            </w:r>
            <w:r>
              <w:rPr>
                <w:noProof/>
                <w:webHidden/>
              </w:rPr>
              <w:fldChar w:fldCharType="begin"/>
            </w:r>
            <w:r>
              <w:rPr>
                <w:noProof/>
                <w:webHidden/>
              </w:rPr>
              <w:instrText xml:space="preserve"> PAGEREF _Toc10807200 \h </w:instrText>
            </w:r>
            <w:r>
              <w:rPr>
                <w:noProof/>
                <w:webHidden/>
              </w:rPr>
            </w:r>
            <w:r>
              <w:rPr>
                <w:noProof/>
                <w:webHidden/>
              </w:rPr>
              <w:fldChar w:fldCharType="separate"/>
            </w:r>
            <w:r>
              <w:rPr>
                <w:noProof/>
                <w:webHidden/>
              </w:rPr>
              <w:t>6</w:t>
            </w:r>
            <w:r>
              <w:rPr>
                <w:noProof/>
                <w:webHidden/>
              </w:rPr>
              <w:fldChar w:fldCharType="end"/>
            </w:r>
          </w:hyperlink>
        </w:p>
        <w:p w14:paraId="1F698DEE" w14:textId="77777777" w:rsidR="0000253B" w:rsidRDefault="0000253B">
          <w:pPr>
            <w:pStyle w:val="TOC2"/>
            <w:rPr>
              <w:rFonts w:eastAsiaTheme="minorEastAsia" w:cstheme="minorBidi"/>
              <w:b w:val="0"/>
              <w:bCs w:val="0"/>
              <w:noProof/>
              <w:color w:val="auto"/>
              <w:sz w:val="22"/>
              <w:szCs w:val="22"/>
              <w:lang w:eastAsia="en-GB"/>
            </w:rPr>
          </w:pPr>
          <w:hyperlink w:anchor="_Toc10807201" w:history="1">
            <w:r w:rsidRPr="00986F5E">
              <w:rPr>
                <w:rStyle w:val="Hyperlink"/>
                <w:noProof/>
              </w:rPr>
              <w:t>2.1 Monitoring of the availability of spatial data and services</w:t>
            </w:r>
            <w:r>
              <w:rPr>
                <w:noProof/>
                <w:webHidden/>
              </w:rPr>
              <w:tab/>
            </w:r>
            <w:r>
              <w:rPr>
                <w:noProof/>
                <w:webHidden/>
              </w:rPr>
              <w:fldChar w:fldCharType="begin"/>
            </w:r>
            <w:r>
              <w:rPr>
                <w:noProof/>
                <w:webHidden/>
              </w:rPr>
              <w:instrText xml:space="preserve"> PAGEREF _Toc10807201 \h </w:instrText>
            </w:r>
            <w:r>
              <w:rPr>
                <w:noProof/>
                <w:webHidden/>
              </w:rPr>
            </w:r>
            <w:r>
              <w:rPr>
                <w:noProof/>
                <w:webHidden/>
              </w:rPr>
              <w:fldChar w:fldCharType="separate"/>
            </w:r>
            <w:r>
              <w:rPr>
                <w:noProof/>
                <w:webHidden/>
              </w:rPr>
              <w:t>6</w:t>
            </w:r>
            <w:r>
              <w:rPr>
                <w:noProof/>
                <w:webHidden/>
              </w:rPr>
              <w:fldChar w:fldCharType="end"/>
            </w:r>
          </w:hyperlink>
        </w:p>
        <w:p w14:paraId="2F76B5A9" w14:textId="77777777" w:rsidR="0000253B" w:rsidRDefault="0000253B">
          <w:pPr>
            <w:pStyle w:val="TOC2"/>
            <w:rPr>
              <w:rFonts w:eastAsiaTheme="minorEastAsia" w:cstheme="minorBidi"/>
              <w:b w:val="0"/>
              <w:bCs w:val="0"/>
              <w:noProof/>
              <w:color w:val="auto"/>
              <w:sz w:val="22"/>
              <w:szCs w:val="22"/>
              <w:lang w:eastAsia="en-GB"/>
            </w:rPr>
          </w:pPr>
          <w:hyperlink w:anchor="_Toc10807202" w:history="1">
            <w:r w:rsidRPr="00986F5E">
              <w:rPr>
                <w:rStyle w:val="Hyperlink"/>
                <w:noProof/>
              </w:rPr>
              <w:t>2.2 Monitoring of the conformity of metadata</w:t>
            </w:r>
            <w:r>
              <w:rPr>
                <w:noProof/>
                <w:webHidden/>
              </w:rPr>
              <w:tab/>
            </w:r>
            <w:r>
              <w:rPr>
                <w:noProof/>
                <w:webHidden/>
              </w:rPr>
              <w:fldChar w:fldCharType="begin"/>
            </w:r>
            <w:r>
              <w:rPr>
                <w:noProof/>
                <w:webHidden/>
              </w:rPr>
              <w:instrText xml:space="preserve"> PAGEREF _Toc10807202 \h </w:instrText>
            </w:r>
            <w:r>
              <w:rPr>
                <w:noProof/>
                <w:webHidden/>
              </w:rPr>
            </w:r>
            <w:r>
              <w:rPr>
                <w:noProof/>
                <w:webHidden/>
              </w:rPr>
              <w:fldChar w:fldCharType="separate"/>
            </w:r>
            <w:r>
              <w:rPr>
                <w:noProof/>
                <w:webHidden/>
              </w:rPr>
              <w:t>8</w:t>
            </w:r>
            <w:r>
              <w:rPr>
                <w:noProof/>
                <w:webHidden/>
              </w:rPr>
              <w:fldChar w:fldCharType="end"/>
            </w:r>
          </w:hyperlink>
        </w:p>
        <w:p w14:paraId="7823D1D5" w14:textId="77777777" w:rsidR="0000253B" w:rsidRDefault="0000253B">
          <w:pPr>
            <w:pStyle w:val="TOC2"/>
            <w:rPr>
              <w:rFonts w:eastAsiaTheme="minorEastAsia" w:cstheme="minorBidi"/>
              <w:b w:val="0"/>
              <w:bCs w:val="0"/>
              <w:noProof/>
              <w:color w:val="auto"/>
              <w:sz w:val="22"/>
              <w:szCs w:val="22"/>
              <w:lang w:eastAsia="en-GB"/>
            </w:rPr>
          </w:pPr>
          <w:hyperlink w:anchor="_Toc10807203" w:history="1">
            <w:r w:rsidRPr="00986F5E">
              <w:rPr>
                <w:rStyle w:val="Hyperlink"/>
                <w:noProof/>
              </w:rPr>
              <w:t>2.3 Monitoring of the conformity of spatial data sets</w:t>
            </w:r>
            <w:r>
              <w:rPr>
                <w:noProof/>
                <w:webHidden/>
              </w:rPr>
              <w:tab/>
            </w:r>
            <w:r>
              <w:rPr>
                <w:noProof/>
                <w:webHidden/>
              </w:rPr>
              <w:fldChar w:fldCharType="begin"/>
            </w:r>
            <w:r>
              <w:rPr>
                <w:noProof/>
                <w:webHidden/>
              </w:rPr>
              <w:instrText xml:space="preserve"> PAGEREF _Toc10807203 \h </w:instrText>
            </w:r>
            <w:r>
              <w:rPr>
                <w:noProof/>
                <w:webHidden/>
              </w:rPr>
            </w:r>
            <w:r>
              <w:rPr>
                <w:noProof/>
                <w:webHidden/>
              </w:rPr>
              <w:fldChar w:fldCharType="separate"/>
            </w:r>
            <w:r>
              <w:rPr>
                <w:noProof/>
                <w:webHidden/>
              </w:rPr>
              <w:t>10</w:t>
            </w:r>
            <w:r>
              <w:rPr>
                <w:noProof/>
                <w:webHidden/>
              </w:rPr>
              <w:fldChar w:fldCharType="end"/>
            </w:r>
          </w:hyperlink>
        </w:p>
        <w:p w14:paraId="1135D67D" w14:textId="77777777" w:rsidR="0000253B" w:rsidRDefault="0000253B">
          <w:pPr>
            <w:pStyle w:val="TOC2"/>
            <w:rPr>
              <w:rFonts w:eastAsiaTheme="minorEastAsia" w:cstheme="minorBidi"/>
              <w:b w:val="0"/>
              <w:bCs w:val="0"/>
              <w:noProof/>
              <w:color w:val="auto"/>
              <w:sz w:val="22"/>
              <w:szCs w:val="22"/>
              <w:lang w:eastAsia="en-GB"/>
            </w:rPr>
          </w:pPr>
          <w:hyperlink w:anchor="_Toc10807204" w:history="1">
            <w:r w:rsidRPr="00986F5E">
              <w:rPr>
                <w:rStyle w:val="Hyperlink"/>
                <w:noProof/>
              </w:rPr>
              <w:t>2.4 Monitoring of the accessibility of spatial data sets through view and download services</w:t>
            </w:r>
            <w:r>
              <w:rPr>
                <w:noProof/>
                <w:webHidden/>
              </w:rPr>
              <w:tab/>
            </w:r>
            <w:r>
              <w:rPr>
                <w:noProof/>
                <w:webHidden/>
              </w:rPr>
              <w:fldChar w:fldCharType="begin"/>
            </w:r>
            <w:r>
              <w:rPr>
                <w:noProof/>
                <w:webHidden/>
              </w:rPr>
              <w:instrText xml:space="preserve"> PAGEREF _Toc10807204 \h </w:instrText>
            </w:r>
            <w:r>
              <w:rPr>
                <w:noProof/>
                <w:webHidden/>
              </w:rPr>
            </w:r>
            <w:r>
              <w:rPr>
                <w:noProof/>
                <w:webHidden/>
              </w:rPr>
              <w:fldChar w:fldCharType="separate"/>
            </w:r>
            <w:r>
              <w:rPr>
                <w:noProof/>
                <w:webHidden/>
              </w:rPr>
              <w:t>12</w:t>
            </w:r>
            <w:r>
              <w:rPr>
                <w:noProof/>
                <w:webHidden/>
              </w:rPr>
              <w:fldChar w:fldCharType="end"/>
            </w:r>
          </w:hyperlink>
        </w:p>
        <w:p w14:paraId="5972217F" w14:textId="77777777" w:rsidR="0000253B" w:rsidRDefault="0000253B">
          <w:pPr>
            <w:pStyle w:val="TOC2"/>
            <w:rPr>
              <w:rFonts w:eastAsiaTheme="minorEastAsia" w:cstheme="minorBidi"/>
              <w:b w:val="0"/>
              <w:bCs w:val="0"/>
              <w:noProof/>
              <w:color w:val="auto"/>
              <w:sz w:val="22"/>
              <w:szCs w:val="22"/>
              <w:lang w:eastAsia="en-GB"/>
            </w:rPr>
          </w:pPr>
          <w:hyperlink w:anchor="_Toc10807205" w:history="1">
            <w:r w:rsidRPr="00986F5E">
              <w:rPr>
                <w:rStyle w:val="Hyperlink"/>
                <w:noProof/>
              </w:rPr>
              <w:t>2.5 Monitoring of the conformity of network services</w:t>
            </w:r>
            <w:r>
              <w:rPr>
                <w:noProof/>
                <w:webHidden/>
              </w:rPr>
              <w:tab/>
            </w:r>
            <w:r>
              <w:rPr>
                <w:noProof/>
                <w:webHidden/>
              </w:rPr>
              <w:fldChar w:fldCharType="begin"/>
            </w:r>
            <w:r>
              <w:rPr>
                <w:noProof/>
                <w:webHidden/>
              </w:rPr>
              <w:instrText xml:space="preserve"> PAGEREF _Toc10807205 \h </w:instrText>
            </w:r>
            <w:r>
              <w:rPr>
                <w:noProof/>
                <w:webHidden/>
              </w:rPr>
            </w:r>
            <w:r>
              <w:rPr>
                <w:noProof/>
                <w:webHidden/>
              </w:rPr>
              <w:fldChar w:fldCharType="separate"/>
            </w:r>
            <w:r>
              <w:rPr>
                <w:noProof/>
                <w:webHidden/>
              </w:rPr>
              <w:t>13</w:t>
            </w:r>
            <w:r>
              <w:rPr>
                <w:noProof/>
                <w:webHidden/>
              </w:rPr>
              <w:fldChar w:fldCharType="end"/>
            </w:r>
          </w:hyperlink>
        </w:p>
        <w:p w14:paraId="0A7BE5CC" w14:textId="77777777" w:rsidR="0000253B" w:rsidRDefault="0000253B">
          <w:pPr>
            <w:pStyle w:val="TOC1"/>
            <w:rPr>
              <w:rFonts w:asciiTheme="minorHAnsi" w:eastAsiaTheme="minorEastAsia" w:hAnsiTheme="minorHAnsi" w:cstheme="minorBidi"/>
              <w:b w:val="0"/>
              <w:bCs w:val="0"/>
              <w:caps w:val="0"/>
              <w:noProof/>
              <w:color w:val="auto"/>
              <w:sz w:val="22"/>
              <w:szCs w:val="22"/>
              <w:lang w:eastAsia="en-GB"/>
            </w:rPr>
          </w:pPr>
          <w:hyperlink w:anchor="_Toc10807206" w:history="1">
            <w:r w:rsidRPr="00986F5E">
              <w:rPr>
                <w:rStyle w:val="Hyperlink"/>
                <w:noProof/>
              </w:rPr>
              <w:t>Annex 1 – The INSPIRE Reference Validator for the calculation of the indicators MDi1.1 and MDi1.2</w:t>
            </w:r>
            <w:r>
              <w:rPr>
                <w:noProof/>
                <w:webHidden/>
              </w:rPr>
              <w:tab/>
            </w:r>
            <w:r>
              <w:rPr>
                <w:noProof/>
                <w:webHidden/>
              </w:rPr>
              <w:fldChar w:fldCharType="begin"/>
            </w:r>
            <w:r>
              <w:rPr>
                <w:noProof/>
                <w:webHidden/>
              </w:rPr>
              <w:instrText xml:space="preserve"> PAGEREF _Toc10807206 \h </w:instrText>
            </w:r>
            <w:r>
              <w:rPr>
                <w:noProof/>
                <w:webHidden/>
              </w:rPr>
            </w:r>
            <w:r>
              <w:rPr>
                <w:noProof/>
                <w:webHidden/>
              </w:rPr>
              <w:fldChar w:fldCharType="separate"/>
            </w:r>
            <w:r>
              <w:rPr>
                <w:noProof/>
                <w:webHidden/>
              </w:rPr>
              <w:t>17</w:t>
            </w:r>
            <w:r>
              <w:rPr>
                <w:noProof/>
                <w:webHidden/>
              </w:rPr>
              <w:fldChar w:fldCharType="end"/>
            </w:r>
          </w:hyperlink>
        </w:p>
        <w:p w14:paraId="4E2B82B9" w14:textId="77777777" w:rsidR="0000253B" w:rsidRDefault="0000253B">
          <w:pPr>
            <w:pStyle w:val="TOC2"/>
            <w:rPr>
              <w:rFonts w:eastAsiaTheme="minorEastAsia" w:cstheme="minorBidi"/>
              <w:b w:val="0"/>
              <w:bCs w:val="0"/>
              <w:noProof/>
              <w:color w:val="auto"/>
              <w:sz w:val="22"/>
              <w:szCs w:val="22"/>
              <w:lang w:eastAsia="en-GB"/>
            </w:rPr>
          </w:pPr>
          <w:hyperlink w:anchor="_Toc10807207" w:history="1">
            <w:r w:rsidRPr="00986F5E">
              <w:rPr>
                <w:rStyle w:val="Hyperlink"/>
                <w:noProof/>
              </w:rPr>
              <w:t>1.1</w:t>
            </w:r>
            <w:r>
              <w:rPr>
                <w:rFonts w:eastAsiaTheme="minorEastAsia" w:cstheme="minorBidi"/>
                <w:b w:val="0"/>
                <w:bCs w:val="0"/>
                <w:noProof/>
                <w:color w:val="auto"/>
                <w:sz w:val="22"/>
                <w:szCs w:val="22"/>
                <w:lang w:eastAsia="en-GB"/>
              </w:rPr>
              <w:tab/>
            </w:r>
            <w:r w:rsidRPr="00986F5E">
              <w:rPr>
                <w:rStyle w:val="Hyperlink"/>
                <w:noProof/>
              </w:rPr>
              <w:t>MD TG v.1.3</w:t>
            </w:r>
            <w:r>
              <w:rPr>
                <w:noProof/>
                <w:webHidden/>
              </w:rPr>
              <w:tab/>
            </w:r>
            <w:r>
              <w:rPr>
                <w:noProof/>
                <w:webHidden/>
              </w:rPr>
              <w:fldChar w:fldCharType="begin"/>
            </w:r>
            <w:r>
              <w:rPr>
                <w:noProof/>
                <w:webHidden/>
              </w:rPr>
              <w:instrText xml:space="preserve"> PAGEREF _Toc10807207 \h </w:instrText>
            </w:r>
            <w:r>
              <w:rPr>
                <w:noProof/>
                <w:webHidden/>
              </w:rPr>
            </w:r>
            <w:r>
              <w:rPr>
                <w:noProof/>
                <w:webHidden/>
              </w:rPr>
              <w:fldChar w:fldCharType="separate"/>
            </w:r>
            <w:r>
              <w:rPr>
                <w:noProof/>
                <w:webHidden/>
              </w:rPr>
              <w:t>17</w:t>
            </w:r>
            <w:r>
              <w:rPr>
                <w:noProof/>
                <w:webHidden/>
              </w:rPr>
              <w:fldChar w:fldCharType="end"/>
            </w:r>
          </w:hyperlink>
        </w:p>
        <w:p w14:paraId="7642D536" w14:textId="77777777" w:rsidR="0000253B" w:rsidRDefault="0000253B">
          <w:pPr>
            <w:pStyle w:val="TOC2"/>
            <w:rPr>
              <w:rFonts w:eastAsiaTheme="minorEastAsia" w:cstheme="minorBidi"/>
              <w:b w:val="0"/>
              <w:bCs w:val="0"/>
              <w:noProof/>
              <w:color w:val="auto"/>
              <w:sz w:val="22"/>
              <w:szCs w:val="22"/>
              <w:lang w:eastAsia="en-GB"/>
            </w:rPr>
          </w:pPr>
          <w:hyperlink w:anchor="_Toc10807208" w:history="1">
            <w:r w:rsidRPr="00986F5E">
              <w:rPr>
                <w:rStyle w:val="Hyperlink"/>
                <w:noProof/>
              </w:rPr>
              <w:t>1.2</w:t>
            </w:r>
            <w:r>
              <w:rPr>
                <w:rFonts w:eastAsiaTheme="minorEastAsia" w:cstheme="minorBidi"/>
                <w:b w:val="0"/>
                <w:bCs w:val="0"/>
                <w:noProof/>
                <w:color w:val="auto"/>
                <w:sz w:val="22"/>
                <w:szCs w:val="22"/>
                <w:lang w:eastAsia="en-GB"/>
              </w:rPr>
              <w:tab/>
            </w:r>
            <w:r w:rsidRPr="00986F5E">
              <w:rPr>
                <w:rStyle w:val="Hyperlink"/>
                <w:noProof/>
              </w:rPr>
              <w:t>MD TG v.2.0</w:t>
            </w:r>
            <w:r>
              <w:rPr>
                <w:noProof/>
                <w:webHidden/>
              </w:rPr>
              <w:tab/>
            </w:r>
            <w:r>
              <w:rPr>
                <w:noProof/>
                <w:webHidden/>
              </w:rPr>
              <w:fldChar w:fldCharType="begin"/>
            </w:r>
            <w:r>
              <w:rPr>
                <w:noProof/>
                <w:webHidden/>
              </w:rPr>
              <w:instrText xml:space="preserve"> PAGEREF _Toc10807208 \h </w:instrText>
            </w:r>
            <w:r>
              <w:rPr>
                <w:noProof/>
                <w:webHidden/>
              </w:rPr>
            </w:r>
            <w:r>
              <w:rPr>
                <w:noProof/>
                <w:webHidden/>
              </w:rPr>
              <w:fldChar w:fldCharType="separate"/>
            </w:r>
            <w:r>
              <w:rPr>
                <w:noProof/>
                <w:webHidden/>
              </w:rPr>
              <w:t>17</w:t>
            </w:r>
            <w:r>
              <w:rPr>
                <w:noProof/>
                <w:webHidden/>
              </w:rPr>
              <w:fldChar w:fldCharType="end"/>
            </w:r>
          </w:hyperlink>
        </w:p>
        <w:p w14:paraId="7CFA68EE" w14:textId="77777777" w:rsidR="0000253B" w:rsidRDefault="0000253B">
          <w:pPr>
            <w:pStyle w:val="TOC2"/>
            <w:rPr>
              <w:rFonts w:eastAsiaTheme="minorEastAsia" w:cstheme="minorBidi"/>
              <w:b w:val="0"/>
              <w:bCs w:val="0"/>
              <w:noProof/>
              <w:color w:val="auto"/>
              <w:sz w:val="22"/>
              <w:szCs w:val="22"/>
              <w:lang w:eastAsia="en-GB"/>
            </w:rPr>
          </w:pPr>
          <w:hyperlink w:anchor="_Toc10807209" w:history="1">
            <w:r w:rsidRPr="00986F5E">
              <w:rPr>
                <w:rStyle w:val="Hyperlink"/>
                <w:noProof/>
              </w:rPr>
              <w:t>1.3</w:t>
            </w:r>
            <w:r>
              <w:rPr>
                <w:rFonts w:eastAsiaTheme="minorEastAsia" w:cstheme="minorBidi"/>
                <w:b w:val="0"/>
                <w:bCs w:val="0"/>
                <w:noProof/>
                <w:color w:val="auto"/>
                <w:sz w:val="22"/>
                <w:szCs w:val="22"/>
                <w:lang w:eastAsia="en-GB"/>
              </w:rPr>
              <w:tab/>
            </w:r>
            <w:r w:rsidRPr="00986F5E">
              <w:rPr>
                <w:rStyle w:val="Hyperlink"/>
                <w:noProof/>
              </w:rPr>
              <w:t>Start testing</w:t>
            </w:r>
            <w:r>
              <w:rPr>
                <w:noProof/>
                <w:webHidden/>
              </w:rPr>
              <w:tab/>
            </w:r>
            <w:r>
              <w:rPr>
                <w:noProof/>
                <w:webHidden/>
              </w:rPr>
              <w:fldChar w:fldCharType="begin"/>
            </w:r>
            <w:r>
              <w:rPr>
                <w:noProof/>
                <w:webHidden/>
              </w:rPr>
              <w:instrText xml:space="preserve"> PAGEREF _Toc10807209 \h </w:instrText>
            </w:r>
            <w:r>
              <w:rPr>
                <w:noProof/>
                <w:webHidden/>
              </w:rPr>
            </w:r>
            <w:r>
              <w:rPr>
                <w:noProof/>
                <w:webHidden/>
              </w:rPr>
              <w:fldChar w:fldCharType="separate"/>
            </w:r>
            <w:r>
              <w:rPr>
                <w:noProof/>
                <w:webHidden/>
              </w:rPr>
              <w:t>17</w:t>
            </w:r>
            <w:r>
              <w:rPr>
                <w:noProof/>
                <w:webHidden/>
              </w:rPr>
              <w:fldChar w:fldCharType="end"/>
            </w:r>
          </w:hyperlink>
        </w:p>
        <w:p w14:paraId="557A1939" w14:textId="268E9B74" w:rsidR="002F3F0A" w:rsidRPr="002F3F0A" w:rsidRDefault="002F3F0A">
          <w:pPr>
            <w:rPr>
              <w:rFonts w:cs="Arial"/>
            </w:rPr>
          </w:pPr>
          <w:r w:rsidRPr="002F3F0A">
            <w:rPr>
              <w:rFonts w:cs="Arial"/>
              <w:b/>
              <w:bCs/>
              <w:noProof/>
            </w:rPr>
            <w:fldChar w:fldCharType="end"/>
          </w:r>
        </w:p>
      </w:sdtContent>
    </w:sdt>
    <w:p w14:paraId="4C0157B0" w14:textId="23F94BFE" w:rsidR="00554B68" w:rsidRDefault="00554B68" w:rsidP="00554B68"/>
    <w:p w14:paraId="2DE51D63" w14:textId="234056A9" w:rsidR="00554B68" w:rsidRDefault="00554B68" w:rsidP="00554B68"/>
    <w:p w14:paraId="764950DB" w14:textId="620C3A98" w:rsidR="00554B68" w:rsidRDefault="00554B68" w:rsidP="00554B68"/>
    <w:p w14:paraId="0A30C724" w14:textId="5FBA4B03" w:rsidR="00554B68" w:rsidRDefault="00554B68" w:rsidP="00554B68"/>
    <w:p w14:paraId="08DCA39C" w14:textId="04AEA3D4" w:rsidR="00554B68" w:rsidRDefault="00554B68" w:rsidP="00554B68"/>
    <w:p w14:paraId="3ACFA394" w14:textId="3B932C89" w:rsidR="00554B68" w:rsidRDefault="00554B68" w:rsidP="00554B68"/>
    <w:p w14:paraId="182066D4" w14:textId="5641D564" w:rsidR="00554B68" w:rsidRDefault="00554B68" w:rsidP="00554B68"/>
    <w:p w14:paraId="36A44375" w14:textId="4AEB9491" w:rsidR="00554B68" w:rsidRDefault="00554B68" w:rsidP="00554B68"/>
    <w:p w14:paraId="4AAF60C2" w14:textId="77777777" w:rsidR="00554B68" w:rsidRPr="00554B68" w:rsidRDefault="00554B68" w:rsidP="00554B68"/>
    <w:p w14:paraId="04FF43B0" w14:textId="6E04D937" w:rsidR="00554B68" w:rsidRDefault="00554B68" w:rsidP="00554B68">
      <w:pPr>
        <w:rPr>
          <w:rFonts w:cs="Arial"/>
        </w:rPr>
      </w:pPr>
    </w:p>
    <w:p w14:paraId="03323930" w14:textId="77777777" w:rsidR="00117187" w:rsidRDefault="00117187" w:rsidP="00554B68">
      <w:pPr>
        <w:rPr>
          <w:rFonts w:cs="Arial"/>
        </w:rPr>
      </w:pPr>
    </w:p>
    <w:p w14:paraId="678ADCD5" w14:textId="77777777" w:rsidR="003A11EA" w:rsidRDefault="003A11EA" w:rsidP="00554B68">
      <w:pPr>
        <w:rPr>
          <w:rFonts w:cs="Arial"/>
        </w:rPr>
      </w:pPr>
    </w:p>
    <w:p w14:paraId="4B0122DB" w14:textId="77777777" w:rsidR="000B5CA2" w:rsidRPr="00554B68" w:rsidRDefault="000B5CA2" w:rsidP="00554B68">
      <w:pPr>
        <w:rPr>
          <w:rFonts w:cs="Arial"/>
        </w:rPr>
      </w:pPr>
    </w:p>
    <w:p w14:paraId="378D56E0" w14:textId="452DA754" w:rsidR="00E26C8B" w:rsidRDefault="00BD5E56" w:rsidP="00E26C8B">
      <w:pPr>
        <w:pBdr>
          <w:top w:val="single" w:sz="4" w:space="1" w:color="auto"/>
          <w:left w:val="single" w:sz="4" w:space="4" w:color="auto"/>
          <w:bottom w:val="single" w:sz="4" w:space="3" w:color="auto"/>
          <w:right w:val="single" w:sz="4" w:space="4" w:color="auto"/>
        </w:pBdr>
      </w:pPr>
      <w:r>
        <w:rPr>
          <w:i/>
        </w:rPr>
        <w:t>D</w:t>
      </w:r>
      <w:r w:rsidR="00A12CA3">
        <w:rPr>
          <w:i/>
        </w:rPr>
        <w:t xml:space="preserve">ISCLAIMER: </w:t>
      </w:r>
    </w:p>
    <w:p w14:paraId="6CE3821A" w14:textId="739C8C81" w:rsidR="00E26C8B" w:rsidRPr="00A12CA3" w:rsidRDefault="00E26C8B" w:rsidP="00E26C8B">
      <w:pPr>
        <w:pBdr>
          <w:top w:val="single" w:sz="4" w:space="1" w:color="auto"/>
          <w:left w:val="single" w:sz="4" w:space="4" w:color="auto"/>
          <w:bottom w:val="single" w:sz="4" w:space="3" w:color="auto"/>
          <w:right w:val="single" w:sz="4" w:space="4" w:color="auto"/>
        </w:pBdr>
        <w:rPr>
          <w:i/>
        </w:rPr>
      </w:pPr>
      <w:r w:rsidRPr="008E556A">
        <w:rPr>
          <w:i/>
        </w:rPr>
        <w:t xml:space="preserve">This guidance was prepared by the Commission services </w:t>
      </w:r>
      <w:r>
        <w:rPr>
          <w:i/>
        </w:rPr>
        <w:t xml:space="preserve">in collaboration with Member States experts </w:t>
      </w:r>
      <w:r w:rsidRPr="008E556A">
        <w:rPr>
          <w:i/>
        </w:rPr>
        <w:t>and does not necessarily reflect the views of the European Commission. It is</w:t>
      </w:r>
      <w:r>
        <w:rPr>
          <w:i/>
        </w:rPr>
        <w:t xml:space="preserve"> </w:t>
      </w:r>
      <w:r w:rsidRPr="008E556A">
        <w:rPr>
          <w:i/>
        </w:rPr>
        <w:t>intended to facilitate the implementation of</w:t>
      </w:r>
      <w:r>
        <w:rPr>
          <w:i/>
        </w:rPr>
        <w:t xml:space="preserve"> </w:t>
      </w:r>
      <w:r w:rsidRPr="00E26C8B">
        <w:rPr>
          <w:i/>
        </w:rPr>
        <w:t>Commission Decision [XXX] implementing Directive 2007/2/EC (INSPIRE) as regards monitoring and reporting</w:t>
      </w:r>
      <w:r w:rsidRPr="008E556A">
        <w:rPr>
          <w:i/>
        </w:rPr>
        <w:t xml:space="preserve">. However, it is itself not legally binding. Any authoritative reading of the law should only be derived from </w:t>
      </w:r>
      <w:r w:rsidRPr="00E26C8B">
        <w:rPr>
          <w:i/>
        </w:rPr>
        <w:t>Commission Decision [XXX]</w:t>
      </w:r>
      <w:r w:rsidRPr="008E556A">
        <w:rPr>
          <w:i/>
        </w:rPr>
        <w:t xml:space="preserve"> itself and other applicable legal texts or principles. Only the Court of Justice of the European Union is competent to authoritatively interpret Union legislation</w:t>
      </w:r>
      <w:r>
        <w:rPr>
          <w:i/>
        </w:rPr>
        <w:t>.</w:t>
      </w:r>
    </w:p>
    <w:p w14:paraId="23240070" w14:textId="77777777" w:rsidR="00C714CB" w:rsidRDefault="00C714CB">
      <w:pPr>
        <w:spacing w:before="0" w:after="0"/>
        <w:jc w:val="left"/>
        <w:rPr>
          <w:rFonts w:cs="Calibri"/>
          <w:b/>
          <w:bCs/>
          <w:kern w:val="32"/>
          <w:sz w:val="40"/>
          <w:szCs w:val="40"/>
        </w:rPr>
      </w:pPr>
      <w:r>
        <w:rPr>
          <w:rFonts w:cs="Calibri"/>
        </w:rPr>
        <w:lastRenderedPageBreak/>
        <w:br w:type="page"/>
      </w:r>
    </w:p>
    <w:p w14:paraId="7F4BE126" w14:textId="09D09D02" w:rsidR="000B5CA2" w:rsidRDefault="00BD5E56" w:rsidP="000B5CA2">
      <w:pPr>
        <w:pStyle w:val="Heading1"/>
        <w:numPr>
          <w:ilvl w:val="0"/>
          <w:numId w:val="23"/>
        </w:numPr>
        <w:jc w:val="both"/>
        <w:rPr>
          <w:rFonts w:cs="Calibri"/>
        </w:rPr>
      </w:pPr>
      <w:bookmarkStart w:id="0" w:name="_Toc10807199"/>
      <w:r>
        <w:rPr>
          <w:rFonts w:cs="Calibri"/>
        </w:rPr>
        <w:lastRenderedPageBreak/>
        <w:t>Introduction</w:t>
      </w:r>
      <w:bookmarkEnd w:id="0"/>
      <w:r>
        <w:rPr>
          <w:rFonts w:cs="Calibri"/>
        </w:rPr>
        <w:t xml:space="preserve"> </w:t>
      </w:r>
    </w:p>
    <w:p w14:paraId="5D092D0C" w14:textId="06B022E0" w:rsidR="000B5CA2" w:rsidRPr="00C6730C" w:rsidRDefault="00A01C5F" w:rsidP="00C6730C">
      <w:pPr>
        <w:suppressAutoHyphens/>
        <w:autoSpaceDN w:val="0"/>
        <w:spacing w:before="200" w:line="276" w:lineRule="auto"/>
        <w:textAlignment w:val="baseline"/>
        <w:rPr>
          <w:rFonts w:eastAsia="Times New Roman" w:cs="Arial"/>
          <w:szCs w:val="22"/>
        </w:rPr>
      </w:pPr>
      <w:r w:rsidRPr="00C6730C">
        <w:rPr>
          <w:rFonts w:eastAsia="Times New Roman" w:cs="Arial"/>
          <w:szCs w:val="22"/>
        </w:rPr>
        <w:t xml:space="preserve">Directive 2007/2/EC requires Member States to monitor the implementation and use of their infrastructures for spatial information and to report on a number of issues relating to this. Commission Decision </w:t>
      </w:r>
      <w:r w:rsidR="00014685" w:rsidRPr="00C6730C">
        <w:rPr>
          <w:rFonts w:eastAsia="Times New Roman" w:cs="Arial"/>
          <w:color w:val="FF0000"/>
          <w:szCs w:val="22"/>
        </w:rPr>
        <w:t>[XXX]</w:t>
      </w:r>
      <w:r w:rsidRPr="00C6730C">
        <w:rPr>
          <w:rFonts w:eastAsia="Times New Roman" w:cs="Arial"/>
          <w:color w:val="FF0000"/>
          <w:szCs w:val="22"/>
        </w:rPr>
        <w:t xml:space="preserve"> </w:t>
      </w:r>
      <w:r w:rsidRPr="00C6730C">
        <w:rPr>
          <w:rFonts w:eastAsia="Times New Roman" w:cs="Arial"/>
          <w:szCs w:val="22"/>
        </w:rPr>
        <w:t>implements Directive 2007/2/EC of the European Parliament and of the Council as regards that monitoring and reporting.</w:t>
      </w:r>
      <w:r w:rsidR="00F75202" w:rsidRPr="00C6730C">
        <w:rPr>
          <w:rFonts w:eastAsia="Times New Roman" w:cs="Arial"/>
          <w:szCs w:val="22"/>
        </w:rPr>
        <w:t xml:space="preserve"> Monitoring should be based on a set of indicators calculated </w:t>
      </w:r>
      <w:r w:rsidR="0071767E" w:rsidRPr="00C6730C">
        <w:rPr>
          <w:rFonts w:eastAsia="Times New Roman" w:cs="Arial"/>
          <w:szCs w:val="22"/>
        </w:rPr>
        <w:t>based on</w:t>
      </w:r>
      <w:r w:rsidR="00F75202" w:rsidRPr="00C6730C">
        <w:rPr>
          <w:rFonts w:eastAsia="Times New Roman" w:cs="Arial"/>
          <w:szCs w:val="22"/>
        </w:rPr>
        <w:t xml:space="preserve"> data collected from public authorities. These indicators measure the implementation progress of Directive 2007/2/EC in the Member States and are used to evaluate the success of the Directive against its objectives.</w:t>
      </w:r>
    </w:p>
    <w:p w14:paraId="5E54F821" w14:textId="5DC00E1B" w:rsidR="003E39C2" w:rsidRPr="00C6730C" w:rsidRDefault="003E39C2" w:rsidP="00C6730C">
      <w:pPr>
        <w:suppressAutoHyphens/>
        <w:autoSpaceDN w:val="0"/>
        <w:spacing w:before="200" w:line="276" w:lineRule="auto"/>
        <w:textAlignment w:val="baseline"/>
        <w:rPr>
          <w:rFonts w:eastAsia="Times New Roman" w:cs="Arial"/>
          <w:szCs w:val="22"/>
        </w:rPr>
      </w:pPr>
      <w:r w:rsidRPr="00C6730C">
        <w:rPr>
          <w:rFonts w:eastAsia="Times New Roman" w:cs="Arial"/>
          <w:szCs w:val="22"/>
        </w:rPr>
        <w:t xml:space="preserve">To minimize the administrative burden of monitoring, the indicators </w:t>
      </w:r>
      <w:r w:rsidR="0048616A" w:rsidRPr="00C6730C">
        <w:rPr>
          <w:rFonts w:eastAsia="Times New Roman" w:cs="Arial"/>
          <w:szCs w:val="22"/>
        </w:rPr>
        <w:t xml:space="preserve">shall </w:t>
      </w:r>
      <w:r w:rsidRPr="00C6730C">
        <w:rPr>
          <w:rFonts w:eastAsia="Times New Roman" w:cs="Arial"/>
          <w:szCs w:val="22"/>
        </w:rPr>
        <w:t>be calculated based on the metadata for spatial data sets and spatial data services already created and published by Member States pursuant to Article 5 of Directive 2007/2/EC</w:t>
      </w:r>
      <w:r w:rsidR="0048616A" w:rsidRPr="00C6730C">
        <w:rPr>
          <w:rFonts w:eastAsia="Times New Roman" w:cs="Arial"/>
          <w:szCs w:val="22"/>
        </w:rPr>
        <w:t xml:space="preserve"> and </w:t>
      </w:r>
      <w:r w:rsidRPr="00C6730C">
        <w:rPr>
          <w:rFonts w:eastAsia="Times New Roman" w:cs="Arial"/>
          <w:szCs w:val="22"/>
        </w:rPr>
        <w:t xml:space="preserve">as provided for in in Decision </w:t>
      </w:r>
      <w:r w:rsidR="00014685" w:rsidRPr="00C6730C">
        <w:rPr>
          <w:rFonts w:eastAsia="Times New Roman" w:cs="Arial"/>
          <w:color w:val="FF0000"/>
          <w:szCs w:val="22"/>
        </w:rPr>
        <w:t>[XXX]</w:t>
      </w:r>
      <w:r w:rsidRPr="00C6730C">
        <w:rPr>
          <w:rFonts w:eastAsia="Times New Roman" w:cs="Arial"/>
          <w:color w:val="FF0000"/>
          <w:szCs w:val="22"/>
        </w:rPr>
        <w:t xml:space="preserve">. </w:t>
      </w:r>
      <w:r w:rsidRPr="00C6730C">
        <w:rPr>
          <w:rFonts w:eastAsia="Times New Roman" w:cs="Arial"/>
          <w:szCs w:val="22"/>
        </w:rPr>
        <w:t xml:space="preserve">Metadata that have not been published </w:t>
      </w:r>
      <w:r w:rsidR="00886172" w:rsidRPr="00C6730C">
        <w:rPr>
          <w:rFonts w:eastAsia="Times New Roman" w:cs="Arial"/>
          <w:szCs w:val="22"/>
        </w:rPr>
        <w:t xml:space="preserve">in the Member States registered discovery services </w:t>
      </w:r>
      <w:r w:rsidRPr="00C6730C">
        <w:rPr>
          <w:rFonts w:eastAsia="Times New Roman" w:cs="Arial"/>
          <w:szCs w:val="22"/>
        </w:rPr>
        <w:t xml:space="preserve">are not discoverable and do not contribute to the </w:t>
      </w:r>
      <w:r w:rsidR="0071767E" w:rsidRPr="00C6730C">
        <w:rPr>
          <w:rFonts w:eastAsia="Times New Roman" w:cs="Arial"/>
          <w:szCs w:val="22"/>
        </w:rPr>
        <w:t>infrastructure;</w:t>
      </w:r>
      <w:r w:rsidRPr="00C6730C">
        <w:rPr>
          <w:rFonts w:eastAsia="Times New Roman" w:cs="Arial"/>
          <w:szCs w:val="22"/>
        </w:rPr>
        <w:t xml:space="preserve"> hence </w:t>
      </w:r>
      <w:r w:rsidR="0048616A" w:rsidRPr="00C6730C">
        <w:rPr>
          <w:rFonts w:eastAsia="Times New Roman" w:cs="Arial"/>
          <w:szCs w:val="22"/>
        </w:rPr>
        <w:t xml:space="preserve">they cannot be taken into account </w:t>
      </w:r>
      <w:r w:rsidRPr="00C6730C">
        <w:rPr>
          <w:rFonts w:eastAsia="Times New Roman" w:cs="Arial"/>
          <w:szCs w:val="22"/>
        </w:rPr>
        <w:t>when calculating the indicators for monitoring.</w:t>
      </w:r>
    </w:p>
    <w:p w14:paraId="6F0EEAEB" w14:textId="05D05393" w:rsidR="007C5563" w:rsidRDefault="007C5563" w:rsidP="00F75202">
      <w:pPr>
        <w:suppressAutoHyphens/>
        <w:autoSpaceDN w:val="0"/>
        <w:spacing w:before="200" w:line="276" w:lineRule="auto"/>
        <w:textAlignment w:val="baseline"/>
        <w:rPr>
          <w:rFonts w:eastAsia="Times New Roman" w:cs="Arial"/>
          <w:szCs w:val="22"/>
          <w:highlight w:val="yellow"/>
        </w:rPr>
      </w:pPr>
      <w:r w:rsidRPr="007C5563">
        <w:rPr>
          <w:rFonts w:eastAsia="Times New Roman" w:cs="Arial"/>
          <w:szCs w:val="22"/>
        </w:rPr>
        <w:t xml:space="preserve">The responsibility to monitor the implementation and use of the infrastructure for spatial information is on the Member States. This is clearly </w:t>
      </w:r>
      <w:r w:rsidR="00FF486F">
        <w:rPr>
          <w:rFonts w:eastAsia="Times New Roman" w:cs="Arial"/>
          <w:szCs w:val="22"/>
        </w:rPr>
        <w:t>indicated</w:t>
      </w:r>
      <w:r w:rsidRPr="007C5563">
        <w:rPr>
          <w:rFonts w:eastAsia="Times New Roman" w:cs="Arial"/>
          <w:szCs w:val="22"/>
        </w:rPr>
        <w:t xml:space="preserve"> in Artic</w:t>
      </w:r>
      <w:r>
        <w:rPr>
          <w:rFonts w:eastAsia="Times New Roman" w:cs="Arial"/>
          <w:szCs w:val="22"/>
        </w:rPr>
        <w:t>le 21(1) of Directive 2007/2/EC</w:t>
      </w:r>
      <w:r w:rsidRPr="007C5563">
        <w:rPr>
          <w:rFonts w:eastAsia="Times New Roman" w:cs="Arial"/>
          <w:szCs w:val="22"/>
        </w:rPr>
        <w:t>. The Member States and the Commission can agree on the use of a centralised common infrastructure to limit the administrative burden on Member States for calculating indicators and publishing the monitoring results (e.g. as part of the INSPIRE knowledge base hosted by the JRC and with full transparency on the calculation methods). Member States are free to decide to use this common infrastructure or not.</w:t>
      </w:r>
    </w:p>
    <w:p w14:paraId="214BC5FB" w14:textId="77777777" w:rsidR="00F75202" w:rsidRDefault="00F75202" w:rsidP="00F75202">
      <w:pPr>
        <w:suppressAutoHyphens/>
        <w:autoSpaceDN w:val="0"/>
        <w:spacing w:before="200" w:line="276" w:lineRule="auto"/>
        <w:textAlignment w:val="baseline"/>
        <w:rPr>
          <w:rFonts w:eastAsia="Times New Roman" w:cs="Arial"/>
          <w:szCs w:val="22"/>
        </w:rPr>
      </w:pPr>
    </w:p>
    <w:p w14:paraId="32984799" w14:textId="449EF5E2" w:rsidR="00F86707" w:rsidRDefault="00F86707" w:rsidP="00F75202">
      <w:pPr>
        <w:suppressAutoHyphens/>
        <w:autoSpaceDN w:val="0"/>
        <w:spacing w:before="200" w:line="276" w:lineRule="auto"/>
        <w:textAlignment w:val="baseline"/>
      </w:pPr>
      <w:r>
        <w:br w:type="page"/>
      </w:r>
    </w:p>
    <w:p w14:paraId="4D8CFD1D" w14:textId="6F2C0688" w:rsidR="000B5CA2" w:rsidRDefault="00A01C5F" w:rsidP="000B5CA2">
      <w:pPr>
        <w:pStyle w:val="Heading1"/>
        <w:numPr>
          <w:ilvl w:val="0"/>
          <w:numId w:val="23"/>
        </w:numPr>
        <w:jc w:val="both"/>
        <w:rPr>
          <w:rFonts w:cs="Calibri"/>
        </w:rPr>
      </w:pPr>
      <w:bookmarkStart w:id="1" w:name="_Toc10807200"/>
      <w:r>
        <w:rPr>
          <w:rFonts w:cs="Calibri"/>
        </w:rPr>
        <w:lastRenderedPageBreak/>
        <w:t>Overview of indicators</w:t>
      </w:r>
      <w:bookmarkEnd w:id="1"/>
    </w:p>
    <w:p w14:paraId="0703917C" w14:textId="2BEA071E" w:rsidR="00A01C5F" w:rsidRPr="003B387E" w:rsidRDefault="003E39C2" w:rsidP="00A01C5F">
      <w:pPr>
        <w:rPr>
          <w:rFonts w:cs="Arial"/>
        </w:rPr>
      </w:pPr>
      <w:r w:rsidRPr="003B387E">
        <w:rPr>
          <w:rFonts w:cs="Arial"/>
        </w:rPr>
        <w:t xml:space="preserve">The monitoring indicators are grouped </w:t>
      </w:r>
      <w:r w:rsidR="00A12C95">
        <w:rPr>
          <w:rFonts w:cs="Arial"/>
        </w:rPr>
        <w:t>following the categories established in the revised Decision</w:t>
      </w:r>
      <w:r w:rsidR="003B387E" w:rsidRPr="003B387E">
        <w:rPr>
          <w:rFonts w:cs="Arial"/>
        </w:rPr>
        <w:t>:</w:t>
      </w:r>
    </w:p>
    <w:p w14:paraId="56B9A221" w14:textId="013A3B59" w:rsidR="003B387E" w:rsidRDefault="003B387E" w:rsidP="003B387E">
      <w:pPr>
        <w:pStyle w:val="ListParagraph"/>
        <w:numPr>
          <w:ilvl w:val="0"/>
          <w:numId w:val="29"/>
        </w:numPr>
        <w:rPr>
          <w:rFonts w:ascii="Arial" w:hAnsi="Arial" w:cs="Arial"/>
        </w:rPr>
      </w:pPr>
      <w:r>
        <w:rPr>
          <w:rFonts w:ascii="Arial" w:hAnsi="Arial" w:cs="Arial"/>
        </w:rPr>
        <w:t>m</w:t>
      </w:r>
      <w:r w:rsidRPr="003B387E">
        <w:rPr>
          <w:rFonts w:ascii="Arial" w:hAnsi="Arial" w:cs="Arial"/>
        </w:rPr>
        <w:t>onitoring of the availability of spatial data and services</w:t>
      </w:r>
      <w:r w:rsidR="00A12C95">
        <w:rPr>
          <w:rFonts w:ascii="Arial" w:hAnsi="Arial" w:cs="Arial"/>
        </w:rPr>
        <w:t xml:space="preserve"> (Art. 3)</w:t>
      </w:r>
    </w:p>
    <w:p w14:paraId="7ACCDDC6" w14:textId="0CD27695" w:rsidR="003B387E" w:rsidRDefault="003B387E" w:rsidP="003B387E">
      <w:pPr>
        <w:pStyle w:val="ListParagraph"/>
        <w:numPr>
          <w:ilvl w:val="0"/>
          <w:numId w:val="29"/>
        </w:numPr>
        <w:rPr>
          <w:rFonts w:ascii="Arial" w:hAnsi="Arial" w:cs="Arial"/>
        </w:rPr>
      </w:pPr>
      <w:r>
        <w:rPr>
          <w:rFonts w:ascii="Arial" w:hAnsi="Arial" w:cs="Arial"/>
        </w:rPr>
        <w:t>m</w:t>
      </w:r>
      <w:r w:rsidRPr="003B387E">
        <w:rPr>
          <w:rFonts w:ascii="Arial" w:hAnsi="Arial" w:cs="Arial"/>
        </w:rPr>
        <w:t>onitoring of the conformity of metadata</w:t>
      </w:r>
      <w:r w:rsidR="00A12C95">
        <w:rPr>
          <w:rFonts w:ascii="Arial" w:hAnsi="Arial" w:cs="Arial"/>
        </w:rPr>
        <w:t xml:space="preserve"> (Art. 4)</w:t>
      </w:r>
    </w:p>
    <w:p w14:paraId="7725030A" w14:textId="3DB59BD8" w:rsidR="003B387E" w:rsidRDefault="003B387E" w:rsidP="003B387E">
      <w:pPr>
        <w:pStyle w:val="ListParagraph"/>
        <w:numPr>
          <w:ilvl w:val="0"/>
          <w:numId w:val="29"/>
        </w:numPr>
        <w:rPr>
          <w:rFonts w:ascii="Arial" w:hAnsi="Arial" w:cs="Arial"/>
        </w:rPr>
      </w:pPr>
      <w:r>
        <w:rPr>
          <w:rFonts w:ascii="Arial" w:hAnsi="Arial" w:cs="Arial"/>
        </w:rPr>
        <w:t>m</w:t>
      </w:r>
      <w:r w:rsidRPr="003B387E">
        <w:rPr>
          <w:rFonts w:ascii="Arial" w:hAnsi="Arial" w:cs="Arial"/>
        </w:rPr>
        <w:t>onitoring of the conformity of spatial data sets</w:t>
      </w:r>
      <w:r w:rsidR="00A12C95">
        <w:rPr>
          <w:rFonts w:ascii="Arial" w:hAnsi="Arial" w:cs="Arial"/>
        </w:rPr>
        <w:t xml:space="preserve"> (Art. 5) </w:t>
      </w:r>
    </w:p>
    <w:p w14:paraId="6A7E4922" w14:textId="7C84CE4A" w:rsidR="003B387E" w:rsidRDefault="003B387E" w:rsidP="00A12C95">
      <w:pPr>
        <w:pStyle w:val="ListParagraph"/>
        <w:numPr>
          <w:ilvl w:val="0"/>
          <w:numId w:val="29"/>
        </w:numPr>
        <w:rPr>
          <w:rFonts w:ascii="Arial" w:hAnsi="Arial" w:cs="Arial"/>
        </w:rPr>
      </w:pPr>
      <w:r>
        <w:rPr>
          <w:rFonts w:ascii="Arial" w:hAnsi="Arial" w:cs="Arial"/>
        </w:rPr>
        <w:t>m</w:t>
      </w:r>
      <w:r w:rsidRPr="003B387E">
        <w:rPr>
          <w:rFonts w:ascii="Arial" w:hAnsi="Arial" w:cs="Arial"/>
        </w:rPr>
        <w:t>onitoring of the accessibility of spatial data sets through view and download services</w:t>
      </w:r>
      <w:r w:rsidR="00A12C95">
        <w:rPr>
          <w:rFonts w:ascii="Arial" w:hAnsi="Arial" w:cs="Arial"/>
        </w:rPr>
        <w:t xml:space="preserve"> (Art. 6)</w:t>
      </w:r>
    </w:p>
    <w:p w14:paraId="26994FE3" w14:textId="49EFACB1" w:rsidR="003B387E" w:rsidRPr="003B387E" w:rsidRDefault="003B387E" w:rsidP="00A12C95">
      <w:pPr>
        <w:pStyle w:val="ListParagraph"/>
        <w:numPr>
          <w:ilvl w:val="0"/>
          <w:numId w:val="29"/>
        </w:numPr>
        <w:rPr>
          <w:rFonts w:ascii="Arial" w:hAnsi="Arial" w:cs="Arial"/>
        </w:rPr>
      </w:pPr>
      <w:r>
        <w:rPr>
          <w:rFonts w:ascii="Arial" w:hAnsi="Arial" w:cs="Arial"/>
        </w:rPr>
        <w:t>m</w:t>
      </w:r>
      <w:r w:rsidRPr="003B387E">
        <w:rPr>
          <w:rFonts w:ascii="Arial" w:hAnsi="Arial" w:cs="Arial"/>
        </w:rPr>
        <w:t>onitoring of the conformity of network services</w:t>
      </w:r>
      <w:r w:rsidR="00A12C95">
        <w:rPr>
          <w:rFonts w:ascii="Arial" w:hAnsi="Arial" w:cs="Arial"/>
        </w:rPr>
        <w:t xml:space="preserve"> (Art. 7)</w:t>
      </w:r>
    </w:p>
    <w:p w14:paraId="47C88A12" w14:textId="49C22CF2" w:rsidR="00A01C5F" w:rsidRDefault="003B387E" w:rsidP="003B387E">
      <w:pPr>
        <w:pStyle w:val="Heading2"/>
        <w:numPr>
          <w:ilvl w:val="0"/>
          <w:numId w:val="0"/>
        </w:numPr>
        <w:ind w:left="709" w:hanging="709"/>
      </w:pPr>
      <w:bookmarkStart w:id="2" w:name="_Toc10807201"/>
      <w:r>
        <w:t xml:space="preserve">2.1 </w:t>
      </w:r>
      <w:r w:rsidRPr="003B387E">
        <w:t>Monitoring of the availability of spatial data and services</w:t>
      </w:r>
      <w:bookmarkEnd w:id="2"/>
    </w:p>
    <w:p w14:paraId="249AD102" w14:textId="77777777" w:rsidR="00361BBF" w:rsidRDefault="00361BBF" w:rsidP="00A01C5F">
      <w:pPr>
        <w:rPr>
          <w:rFonts w:cs="Arial"/>
        </w:rPr>
      </w:pPr>
    </w:p>
    <w:tbl>
      <w:tblPr>
        <w:tblStyle w:val="TableGrid"/>
        <w:tblW w:w="0" w:type="auto"/>
        <w:tblLook w:val="04A0" w:firstRow="1" w:lastRow="0" w:firstColumn="1" w:lastColumn="0" w:noHBand="0" w:noVBand="1"/>
      </w:tblPr>
      <w:tblGrid>
        <w:gridCol w:w="1555"/>
        <w:gridCol w:w="7455"/>
      </w:tblGrid>
      <w:tr w:rsidR="00C25C7C" w:rsidRPr="00F04EB8" w14:paraId="160BFC2F" w14:textId="77777777" w:rsidTr="00C25C7C">
        <w:tc>
          <w:tcPr>
            <w:tcW w:w="1555" w:type="dxa"/>
          </w:tcPr>
          <w:p w14:paraId="292CC528" w14:textId="0202A6BE" w:rsidR="00C25C7C" w:rsidRPr="00F04EB8" w:rsidRDefault="00C25C7C" w:rsidP="00A01C5F">
            <w:pPr>
              <w:rPr>
                <w:rFonts w:cs="Arial"/>
                <w:b/>
              </w:rPr>
            </w:pPr>
            <w:r w:rsidRPr="00F04EB8">
              <w:rPr>
                <w:rFonts w:cs="Arial"/>
                <w:b/>
              </w:rPr>
              <w:t>Indicator:</w:t>
            </w:r>
          </w:p>
        </w:tc>
        <w:tc>
          <w:tcPr>
            <w:tcW w:w="7455" w:type="dxa"/>
          </w:tcPr>
          <w:p w14:paraId="3594519E" w14:textId="463DCA05" w:rsidR="00C25C7C" w:rsidRPr="00F04EB8" w:rsidRDefault="00043A34" w:rsidP="00A01C5F">
            <w:pPr>
              <w:rPr>
                <w:rFonts w:cs="Arial"/>
                <w:b/>
              </w:rPr>
            </w:pPr>
            <w:r>
              <w:rPr>
                <w:rFonts w:cs="Arial"/>
                <w:b/>
              </w:rPr>
              <w:t>DSi1.</w:t>
            </w:r>
            <w:r w:rsidR="00C25C7C" w:rsidRPr="00F04EB8">
              <w:rPr>
                <w:rFonts w:cs="Arial"/>
                <w:b/>
              </w:rPr>
              <w:t>1</w:t>
            </w:r>
          </w:p>
        </w:tc>
      </w:tr>
      <w:tr w:rsidR="00C25C7C" w14:paraId="2318DE49" w14:textId="77777777" w:rsidTr="00C25C7C">
        <w:tc>
          <w:tcPr>
            <w:tcW w:w="1555" w:type="dxa"/>
          </w:tcPr>
          <w:p w14:paraId="64D64C1F" w14:textId="0257A44B" w:rsidR="00C25C7C" w:rsidRDefault="00C25C7C" w:rsidP="00A01C5F">
            <w:pPr>
              <w:rPr>
                <w:rFonts w:cs="Arial"/>
              </w:rPr>
            </w:pPr>
            <w:r w:rsidRPr="00C25C7C">
              <w:rPr>
                <w:rFonts w:cs="Arial"/>
              </w:rPr>
              <w:t>Definition:</w:t>
            </w:r>
          </w:p>
        </w:tc>
        <w:tc>
          <w:tcPr>
            <w:tcW w:w="7455" w:type="dxa"/>
          </w:tcPr>
          <w:p w14:paraId="0C33322F" w14:textId="5EBFA5DD" w:rsidR="00C25C7C" w:rsidRDefault="00C25C7C" w:rsidP="00F434F4">
            <w:pPr>
              <w:rPr>
                <w:rFonts w:cs="Arial"/>
              </w:rPr>
            </w:pPr>
            <w:r>
              <w:rPr>
                <w:rFonts w:cs="Arial"/>
              </w:rPr>
              <w:t>T</w:t>
            </w:r>
            <w:r w:rsidRPr="00C25C7C">
              <w:rPr>
                <w:rFonts w:cs="Arial"/>
              </w:rPr>
              <w:t>he number of spatial data sets for which metadata exist</w:t>
            </w:r>
          </w:p>
        </w:tc>
      </w:tr>
      <w:tr w:rsidR="00C25C7C" w14:paraId="7FB80292" w14:textId="77777777" w:rsidTr="00C25C7C">
        <w:tc>
          <w:tcPr>
            <w:tcW w:w="1555" w:type="dxa"/>
          </w:tcPr>
          <w:p w14:paraId="0C146C9E" w14:textId="1B9CE503" w:rsidR="00C25C7C" w:rsidRDefault="00C25C7C" w:rsidP="00A01C5F">
            <w:pPr>
              <w:rPr>
                <w:rFonts w:cs="Arial"/>
              </w:rPr>
            </w:pPr>
            <w:r w:rsidRPr="00C25C7C">
              <w:rPr>
                <w:rFonts w:cs="Arial"/>
              </w:rPr>
              <w:t>Description:</w:t>
            </w:r>
          </w:p>
        </w:tc>
        <w:tc>
          <w:tcPr>
            <w:tcW w:w="7455" w:type="dxa"/>
          </w:tcPr>
          <w:p w14:paraId="06979190" w14:textId="41A8F371" w:rsidR="00C25C7C" w:rsidRDefault="00C25C7C" w:rsidP="00A01C5F">
            <w:pPr>
              <w:rPr>
                <w:rFonts w:cs="Arial"/>
              </w:rPr>
            </w:pPr>
            <w:r w:rsidRPr="00C25C7C">
              <w:rPr>
                <w:rFonts w:cs="Arial"/>
              </w:rPr>
              <w:t>The number of data set metadata records, published by Member States through the</w:t>
            </w:r>
            <w:r w:rsidR="00E919FE">
              <w:rPr>
                <w:rFonts w:cs="Arial"/>
              </w:rPr>
              <w:t>ir</w:t>
            </w:r>
            <w:r w:rsidRPr="00C25C7C">
              <w:rPr>
                <w:rFonts w:cs="Arial"/>
              </w:rPr>
              <w:t xml:space="preserve"> discovery services, corresponding to the themes listed in Annexes I, II and III to Directive 2007/2/EC</w:t>
            </w:r>
            <w:r w:rsidR="008B4545">
              <w:rPr>
                <w:rFonts w:cs="Arial"/>
              </w:rPr>
              <w:t>.</w:t>
            </w:r>
          </w:p>
        </w:tc>
      </w:tr>
      <w:tr w:rsidR="00C25C7C" w14:paraId="25603899" w14:textId="77777777" w:rsidTr="00C25C7C">
        <w:tc>
          <w:tcPr>
            <w:tcW w:w="1555" w:type="dxa"/>
          </w:tcPr>
          <w:p w14:paraId="5147A342" w14:textId="17145615" w:rsidR="00C25C7C" w:rsidRDefault="00C25C7C" w:rsidP="00A01C5F">
            <w:pPr>
              <w:rPr>
                <w:rFonts w:cs="Arial"/>
              </w:rPr>
            </w:pPr>
            <w:r>
              <w:rPr>
                <w:rFonts w:cs="Arial"/>
              </w:rPr>
              <w:t>Calculation method</w:t>
            </w:r>
          </w:p>
        </w:tc>
        <w:tc>
          <w:tcPr>
            <w:tcW w:w="7455" w:type="dxa"/>
          </w:tcPr>
          <w:p w14:paraId="1DB3E59B" w14:textId="5CAC3EA0" w:rsidR="00C25C7C" w:rsidRDefault="00104919" w:rsidP="00A01C5F">
            <w:pPr>
              <w:rPr>
                <w:rFonts w:cs="Arial"/>
              </w:rPr>
            </w:pPr>
            <w:r>
              <w:rPr>
                <w:rFonts w:cs="Arial"/>
              </w:rPr>
              <w:t>The i</w:t>
            </w:r>
            <w:r w:rsidR="00C25C7C">
              <w:rPr>
                <w:rFonts w:cs="Arial"/>
              </w:rPr>
              <w:t xml:space="preserve">ndicator represents </w:t>
            </w:r>
            <w:r w:rsidR="0045148E">
              <w:rPr>
                <w:rFonts w:cs="Arial"/>
              </w:rPr>
              <w:t xml:space="preserve">the </w:t>
            </w:r>
            <w:r w:rsidR="00C25C7C">
              <w:rPr>
                <w:rFonts w:cs="Arial"/>
              </w:rPr>
              <w:t>amount</w:t>
            </w:r>
            <w:r w:rsidR="00C25C7C" w:rsidRPr="00C25C7C">
              <w:rPr>
                <w:rFonts w:cs="Arial"/>
              </w:rPr>
              <w:t xml:space="preserve"> of all metadata records published by </w:t>
            </w:r>
            <w:r>
              <w:rPr>
                <w:rFonts w:cs="Arial"/>
              </w:rPr>
              <w:t xml:space="preserve">the </w:t>
            </w:r>
            <w:r w:rsidR="00C25C7C" w:rsidRPr="00C25C7C">
              <w:rPr>
                <w:rFonts w:cs="Arial"/>
              </w:rPr>
              <w:t>M</w:t>
            </w:r>
            <w:r>
              <w:rPr>
                <w:rFonts w:cs="Arial"/>
              </w:rPr>
              <w:t xml:space="preserve">ember </w:t>
            </w:r>
            <w:r w:rsidR="00C25C7C" w:rsidRPr="00C25C7C">
              <w:rPr>
                <w:rFonts w:cs="Arial"/>
              </w:rPr>
              <w:t>S</w:t>
            </w:r>
            <w:r>
              <w:rPr>
                <w:rFonts w:cs="Arial"/>
              </w:rPr>
              <w:t>tates</w:t>
            </w:r>
            <w:r w:rsidR="00C25C7C" w:rsidRPr="00C25C7C">
              <w:rPr>
                <w:rFonts w:cs="Arial"/>
              </w:rPr>
              <w:t xml:space="preserve"> in the</w:t>
            </w:r>
            <w:r w:rsidR="0045148E">
              <w:rPr>
                <w:rFonts w:cs="Arial"/>
              </w:rPr>
              <w:t>ir</w:t>
            </w:r>
            <w:r w:rsidR="00C25C7C" w:rsidRPr="00C25C7C">
              <w:rPr>
                <w:rFonts w:cs="Arial"/>
              </w:rPr>
              <w:t xml:space="preserve"> registered discovery services. M</w:t>
            </w:r>
            <w:r>
              <w:rPr>
                <w:rFonts w:cs="Arial"/>
              </w:rPr>
              <w:t>ember States</w:t>
            </w:r>
            <w:r w:rsidR="00C25C7C" w:rsidRPr="00C25C7C">
              <w:rPr>
                <w:rFonts w:cs="Arial"/>
              </w:rPr>
              <w:t xml:space="preserve"> should check that there are no duplicate records</w:t>
            </w:r>
            <w:r w:rsidR="00477CFC">
              <w:rPr>
                <w:rFonts w:cs="Arial"/>
              </w:rPr>
              <w:t xml:space="preserve"> and that the INSPIRE Geoportal is showing all of the records</w:t>
            </w:r>
            <w:r w:rsidR="00C25C7C" w:rsidRPr="00C25C7C">
              <w:rPr>
                <w:rFonts w:cs="Arial"/>
              </w:rPr>
              <w:t>.</w:t>
            </w:r>
            <w:r w:rsidR="008B6124">
              <w:rPr>
                <w:rFonts w:cs="Arial"/>
              </w:rPr>
              <w:t xml:space="preserve"> For the calculation, </w:t>
            </w:r>
            <w:r w:rsidR="00003C42">
              <w:rPr>
                <w:rFonts w:cs="Arial"/>
              </w:rPr>
              <w:t>metadata records of data set series will also be included</w:t>
            </w:r>
            <w:r w:rsidR="008B6124">
              <w:rPr>
                <w:rFonts w:cs="Arial"/>
              </w:rPr>
              <w:t>.</w:t>
            </w:r>
          </w:p>
          <w:p w14:paraId="444EFD82" w14:textId="794B06DE" w:rsidR="00C25C7C" w:rsidRDefault="00CD3321" w:rsidP="00324847">
            <w:pPr>
              <w:rPr>
                <w:rFonts w:cs="Arial"/>
              </w:rPr>
            </w:pPr>
            <w:r>
              <w:rPr>
                <w:rFonts w:cs="Arial"/>
              </w:rPr>
              <w:t xml:space="preserve">At </w:t>
            </w:r>
            <w:r w:rsidR="00C25C7C">
              <w:rPr>
                <w:rFonts w:cs="Arial"/>
              </w:rPr>
              <w:t xml:space="preserve">the EU level, </w:t>
            </w:r>
            <w:r>
              <w:rPr>
                <w:rFonts w:cs="Arial"/>
              </w:rPr>
              <w:t xml:space="preserve">this </w:t>
            </w:r>
            <w:r w:rsidR="00C25C7C">
              <w:rPr>
                <w:rFonts w:cs="Arial"/>
              </w:rPr>
              <w:t xml:space="preserve">indicator is calculated as </w:t>
            </w:r>
            <w:r>
              <w:rPr>
                <w:rFonts w:cs="Arial"/>
              </w:rPr>
              <w:t>the</w:t>
            </w:r>
            <w:r w:rsidR="00C25C7C">
              <w:rPr>
                <w:rFonts w:cs="Arial"/>
              </w:rPr>
              <w:t xml:space="preserve"> sum of </w:t>
            </w:r>
            <w:r w:rsidR="00C25C7C" w:rsidRPr="00C25C7C">
              <w:rPr>
                <w:rFonts w:cs="Arial"/>
              </w:rPr>
              <w:t>all M</w:t>
            </w:r>
            <w:r w:rsidR="00104919">
              <w:rPr>
                <w:rFonts w:cs="Arial"/>
              </w:rPr>
              <w:t xml:space="preserve">ember State </w:t>
            </w:r>
            <w:r w:rsidR="00C25C7C" w:rsidRPr="00C25C7C">
              <w:rPr>
                <w:rFonts w:cs="Arial"/>
              </w:rPr>
              <w:t>data set metadata records</w:t>
            </w:r>
          </w:p>
        </w:tc>
      </w:tr>
    </w:tbl>
    <w:p w14:paraId="41DC0AFC" w14:textId="579EDB07" w:rsidR="00361BBF" w:rsidRDefault="00361BBF" w:rsidP="00A01C5F">
      <w:pPr>
        <w:rPr>
          <w:rFonts w:cs="Arial"/>
        </w:rPr>
      </w:pPr>
    </w:p>
    <w:tbl>
      <w:tblPr>
        <w:tblStyle w:val="TableGrid"/>
        <w:tblW w:w="0" w:type="auto"/>
        <w:tblLayout w:type="fixed"/>
        <w:tblLook w:val="04A0" w:firstRow="1" w:lastRow="0" w:firstColumn="1" w:lastColumn="0" w:noHBand="0" w:noVBand="1"/>
      </w:tblPr>
      <w:tblGrid>
        <w:gridCol w:w="1555"/>
        <w:gridCol w:w="7455"/>
      </w:tblGrid>
      <w:tr w:rsidR="00C25C7C" w:rsidRPr="00F04EB8" w14:paraId="1DEA1BE7" w14:textId="77777777" w:rsidTr="00F04EB8">
        <w:tc>
          <w:tcPr>
            <w:tcW w:w="1555" w:type="dxa"/>
          </w:tcPr>
          <w:p w14:paraId="31171101" w14:textId="77777777" w:rsidR="00C25C7C" w:rsidRPr="00F04EB8" w:rsidRDefault="00C25C7C" w:rsidP="00D030E7">
            <w:pPr>
              <w:rPr>
                <w:rFonts w:cs="Arial"/>
                <w:b/>
              </w:rPr>
            </w:pPr>
            <w:r w:rsidRPr="00F04EB8">
              <w:rPr>
                <w:rFonts w:cs="Arial"/>
                <w:b/>
              </w:rPr>
              <w:t>Indicator:</w:t>
            </w:r>
          </w:p>
        </w:tc>
        <w:tc>
          <w:tcPr>
            <w:tcW w:w="7455" w:type="dxa"/>
          </w:tcPr>
          <w:p w14:paraId="5CF42988" w14:textId="0855C7B6" w:rsidR="00C25C7C" w:rsidRPr="00F04EB8" w:rsidRDefault="00043A34" w:rsidP="00C25C7C">
            <w:pPr>
              <w:rPr>
                <w:rFonts w:cs="Arial"/>
                <w:b/>
              </w:rPr>
            </w:pPr>
            <w:r>
              <w:rPr>
                <w:rFonts w:cs="Arial"/>
                <w:b/>
              </w:rPr>
              <w:t>DSi1.</w:t>
            </w:r>
            <w:r w:rsidR="00C25C7C" w:rsidRPr="00F04EB8">
              <w:rPr>
                <w:rFonts w:cs="Arial"/>
                <w:b/>
              </w:rPr>
              <w:t>2</w:t>
            </w:r>
          </w:p>
        </w:tc>
      </w:tr>
      <w:tr w:rsidR="00C25C7C" w14:paraId="1D93E913" w14:textId="77777777" w:rsidTr="00F04EB8">
        <w:tc>
          <w:tcPr>
            <w:tcW w:w="1555" w:type="dxa"/>
          </w:tcPr>
          <w:p w14:paraId="393D2A0F" w14:textId="77777777" w:rsidR="00C25C7C" w:rsidRDefault="00C25C7C" w:rsidP="00D030E7">
            <w:pPr>
              <w:rPr>
                <w:rFonts w:cs="Arial"/>
              </w:rPr>
            </w:pPr>
            <w:r w:rsidRPr="00C25C7C">
              <w:rPr>
                <w:rFonts w:cs="Arial"/>
              </w:rPr>
              <w:t>Definition:</w:t>
            </w:r>
          </w:p>
        </w:tc>
        <w:tc>
          <w:tcPr>
            <w:tcW w:w="7455" w:type="dxa"/>
          </w:tcPr>
          <w:p w14:paraId="7A8363AD" w14:textId="190D9EE2" w:rsidR="00C25C7C" w:rsidRDefault="00C25C7C" w:rsidP="00D030E7">
            <w:pPr>
              <w:rPr>
                <w:rFonts w:cs="Arial"/>
              </w:rPr>
            </w:pPr>
            <w:r w:rsidRPr="00C25C7C">
              <w:rPr>
                <w:rFonts w:cs="Arial"/>
              </w:rPr>
              <w:t>The number of spatial data services for which metadata exist</w:t>
            </w:r>
          </w:p>
        </w:tc>
      </w:tr>
      <w:tr w:rsidR="00C25C7C" w14:paraId="4077A939" w14:textId="77777777" w:rsidTr="00F04EB8">
        <w:tc>
          <w:tcPr>
            <w:tcW w:w="1555" w:type="dxa"/>
          </w:tcPr>
          <w:p w14:paraId="4E612FE1" w14:textId="77777777" w:rsidR="00C25C7C" w:rsidRDefault="00C25C7C" w:rsidP="00D030E7">
            <w:pPr>
              <w:rPr>
                <w:rFonts w:cs="Arial"/>
              </w:rPr>
            </w:pPr>
            <w:r w:rsidRPr="00C25C7C">
              <w:rPr>
                <w:rFonts w:cs="Arial"/>
              </w:rPr>
              <w:t>Description:</w:t>
            </w:r>
          </w:p>
        </w:tc>
        <w:tc>
          <w:tcPr>
            <w:tcW w:w="7455" w:type="dxa"/>
          </w:tcPr>
          <w:p w14:paraId="0176AA80" w14:textId="4E536EF4" w:rsidR="00C25C7C" w:rsidRDefault="00C25C7C" w:rsidP="008B6124">
            <w:pPr>
              <w:rPr>
                <w:rFonts w:cs="Arial"/>
              </w:rPr>
            </w:pPr>
            <w:r w:rsidRPr="00C25C7C">
              <w:rPr>
                <w:rFonts w:cs="Arial"/>
              </w:rPr>
              <w:t>The number of spatial data service</w:t>
            </w:r>
            <w:r w:rsidR="008B6124">
              <w:rPr>
                <w:rFonts w:cs="Arial"/>
              </w:rPr>
              <w:t>s</w:t>
            </w:r>
            <w:r w:rsidR="00E919FE" w:rsidRPr="00C25C7C">
              <w:rPr>
                <w:rFonts w:cs="Arial"/>
              </w:rPr>
              <w:t xml:space="preserve"> published by Member States through the</w:t>
            </w:r>
            <w:r w:rsidR="00E919FE">
              <w:rPr>
                <w:rFonts w:cs="Arial"/>
              </w:rPr>
              <w:t>ir</w:t>
            </w:r>
            <w:r w:rsidR="00E919FE" w:rsidRPr="00C25C7C">
              <w:rPr>
                <w:rFonts w:cs="Arial"/>
              </w:rPr>
              <w:t xml:space="preserve"> discovery services</w:t>
            </w:r>
            <w:r w:rsidR="00E919FE">
              <w:rPr>
                <w:rFonts w:cs="Arial"/>
              </w:rPr>
              <w:t>.</w:t>
            </w:r>
            <w:r w:rsidRPr="00C25C7C">
              <w:rPr>
                <w:rFonts w:cs="Arial"/>
              </w:rPr>
              <w:t xml:space="preserve"> </w:t>
            </w:r>
          </w:p>
        </w:tc>
      </w:tr>
      <w:tr w:rsidR="00C25C7C" w14:paraId="094AF0E7" w14:textId="77777777" w:rsidTr="00F04EB8">
        <w:tc>
          <w:tcPr>
            <w:tcW w:w="1555" w:type="dxa"/>
          </w:tcPr>
          <w:p w14:paraId="49A3B671" w14:textId="77777777" w:rsidR="00C25C7C" w:rsidRDefault="00C25C7C" w:rsidP="00D030E7">
            <w:pPr>
              <w:rPr>
                <w:rFonts w:cs="Arial"/>
              </w:rPr>
            </w:pPr>
            <w:r>
              <w:rPr>
                <w:rFonts w:cs="Arial"/>
              </w:rPr>
              <w:lastRenderedPageBreak/>
              <w:t>Calculation method</w:t>
            </w:r>
          </w:p>
        </w:tc>
        <w:tc>
          <w:tcPr>
            <w:tcW w:w="7455" w:type="dxa"/>
          </w:tcPr>
          <w:p w14:paraId="289ADDFA" w14:textId="71D46DAA" w:rsidR="00C25C7C" w:rsidRDefault="00C25C7C" w:rsidP="00D030E7">
            <w:pPr>
              <w:rPr>
                <w:rFonts w:cs="Arial"/>
              </w:rPr>
            </w:pPr>
            <w:r w:rsidRPr="00C25C7C">
              <w:rPr>
                <w:rFonts w:cs="Arial"/>
              </w:rPr>
              <w:t xml:space="preserve">This is the amount of </w:t>
            </w:r>
            <w:r w:rsidR="00BE1C19">
              <w:rPr>
                <w:rFonts w:cs="Arial"/>
              </w:rPr>
              <w:t>spatial data services metadata</w:t>
            </w:r>
            <w:r w:rsidRPr="00C25C7C">
              <w:rPr>
                <w:rFonts w:cs="Arial"/>
              </w:rPr>
              <w:t xml:space="preserve"> available in the registered </w:t>
            </w:r>
            <w:r>
              <w:rPr>
                <w:rFonts w:cs="Arial"/>
              </w:rPr>
              <w:t>discovery services of the M</w:t>
            </w:r>
            <w:r w:rsidR="00E919FE">
              <w:rPr>
                <w:rFonts w:cs="Arial"/>
              </w:rPr>
              <w:t>ember States</w:t>
            </w:r>
            <w:r w:rsidR="008711A2">
              <w:rPr>
                <w:rStyle w:val="FootnoteReference"/>
                <w:rFonts w:cs="Arial"/>
              </w:rPr>
              <w:footnoteReference w:id="2"/>
            </w:r>
            <w:r w:rsidR="00E919FE">
              <w:rPr>
                <w:rFonts w:cs="Arial"/>
              </w:rPr>
              <w:t>.</w:t>
            </w:r>
            <w:r>
              <w:rPr>
                <w:rFonts w:cs="Arial"/>
              </w:rPr>
              <w:br/>
            </w:r>
          </w:p>
          <w:p w14:paraId="584279E3" w14:textId="1625A67F" w:rsidR="00C25C7C" w:rsidRDefault="005236EE" w:rsidP="00F04EB8">
            <w:pPr>
              <w:rPr>
                <w:rFonts w:cs="Arial"/>
              </w:rPr>
            </w:pPr>
            <w:r>
              <w:rPr>
                <w:rFonts w:cs="Arial"/>
              </w:rPr>
              <w:t xml:space="preserve">At </w:t>
            </w:r>
            <w:r w:rsidR="00C25C7C">
              <w:rPr>
                <w:rFonts w:cs="Arial"/>
              </w:rPr>
              <w:t xml:space="preserve">the EU level, </w:t>
            </w:r>
            <w:r>
              <w:rPr>
                <w:rFonts w:cs="Arial"/>
              </w:rPr>
              <w:t xml:space="preserve">this </w:t>
            </w:r>
            <w:r w:rsidR="00C25C7C">
              <w:rPr>
                <w:rFonts w:cs="Arial"/>
              </w:rPr>
              <w:t xml:space="preserve">indicator is calculated as a sum </w:t>
            </w:r>
            <w:r w:rsidR="00F04EB8">
              <w:rPr>
                <w:rFonts w:cs="Arial"/>
              </w:rPr>
              <w:t xml:space="preserve">of </w:t>
            </w:r>
            <w:r w:rsidR="00F04EB8" w:rsidRPr="00F04EB8">
              <w:rPr>
                <w:rFonts w:cs="Arial"/>
              </w:rPr>
              <w:t>all M</w:t>
            </w:r>
            <w:r w:rsidR="00E919FE">
              <w:rPr>
                <w:rFonts w:cs="Arial"/>
              </w:rPr>
              <w:t>ember State</w:t>
            </w:r>
            <w:r w:rsidR="00F04EB8" w:rsidRPr="00F04EB8">
              <w:rPr>
                <w:rFonts w:cs="Arial"/>
              </w:rPr>
              <w:t xml:space="preserve"> service metadata records </w:t>
            </w:r>
            <w:r w:rsidR="00135B4E">
              <w:rPr>
                <w:rFonts w:cs="Arial"/>
              </w:rPr>
              <w:t xml:space="preserve">in their registered discovery services </w:t>
            </w:r>
            <w:r w:rsidR="00F04EB8" w:rsidRPr="00F04EB8">
              <w:rPr>
                <w:rFonts w:cs="Arial"/>
              </w:rPr>
              <w:t xml:space="preserve">or service </w:t>
            </w:r>
            <w:r w:rsidR="00E919FE">
              <w:rPr>
                <w:rFonts w:cs="Arial"/>
              </w:rPr>
              <w:t xml:space="preserve">endpoint definitions </w:t>
            </w:r>
            <w:r w:rsidR="00F04EB8" w:rsidRPr="00F04EB8">
              <w:rPr>
                <w:rFonts w:cs="Arial"/>
              </w:rPr>
              <w:t>in data</w:t>
            </w:r>
            <w:r w:rsidR="00135B4E">
              <w:rPr>
                <w:rFonts w:cs="Arial"/>
              </w:rPr>
              <w:t xml:space="preserve"> </w:t>
            </w:r>
            <w:r w:rsidR="00F04EB8" w:rsidRPr="00F04EB8">
              <w:rPr>
                <w:rFonts w:cs="Arial"/>
              </w:rPr>
              <w:t>set metadata records</w:t>
            </w:r>
            <w:r w:rsidR="00F04EB8">
              <w:rPr>
                <w:rFonts w:cs="Arial"/>
              </w:rPr>
              <w:t>.</w:t>
            </w:r>
          </w:p>
        </w:tc>
      </w:tr>
    </w:tbl>
    <w:p w14:paraId="49207DB8" w14:textId="77777777" w:rsidR="00244996" w:rsidRDefault="00244996" w:rsidP="00244996">
      <w:pPr>
        <w:rPr>
          <w:rFonts w:cs="Arial"/>
        </w:rPr>
      </w:pPr>
    </w:p>
    <w:tbl>
      <w:tblPr>
        <w:tblStyle w:val="TableGrid"/>
        <w:tblW w:w="0" w:type="auto"/>
        <w:tblLayout w:type="fixed"/>
        <w:tblLook w:val="04A0" w:firstRow="1" w:lastRow="0" w:firstColumn="1" w:lastColumn="0" w:noHBand="0" w:noVBand="1"/>
      </w:tblPr>
      <w:tblGrid>
        <w:gridCol w:w="1555"/>
        <w:gridCol w:w="7455"/>
      </w:tblGrid>
      <w:tr w:rsidR="00244996" w:rsidRPr="00F04EB8" w14:paraId="48DA9D32" w14:textId="77777777" w:rsidTr="00D030E7">
        <w:tc>
          <w:tcPr>
            <w:tcW w:w="1555" w:type="dxa"/>
          </w:tcPr>
          <w:p w14:paraId="7E83DF7F" w14:textId="77777777" w:rsidR="00244996" w:rsidRPr="00F04EB8" w:rsidRDefault="00244996" w:rsidP="00D030E7">
            <w:pPr>
              <w:rPr>
                <w:rFonts w:cs="Arial"/>
                <w:b/>
              </w:rPr>
            </w:pPr>
            <w:r w:rsidRPr="00F04EB8">
              <w:rPr>
                <w:rFonts w:cs="Arial"/>
                <w:b/>
              </w:rPr>
              <w:t>Indicator:</w:t>
            </w:r>
          </w:p>
        </w:tc>
        <w:tc>
          <w:tcPr>
            <w:tcW w:w="7455" w:type="dxa"/>
          </w:tcPr>
          <w:p w14:paraId="242209B1" w14:textId="440EF190" w:rsidR="00244996" w:rsidRPr="00F04EB8" w:rsidRDefault="00043A34" w:rsidP="00D030E7">
            <w:pPr>
              <w:rPr>
                <w:rFonts w:cs="Arial"/>
                <w:b/>
              </w:rPr>
            </w:pPr>
            <w:r>
              <w:rPr>
                <w:rFonts w:cs="Arial"/>
                <w:b/>
              </w:rPr>
              <w:t>DSi1.</w:t>
            </w:r>
            <w:r w:rsidR="00244996">
              <w:rPr>
                <w:rFonts w:cs="Arial"/>
                <w:b/>
              </w:rPr>
              <w:t>3</w:t>
            </w:r>
          </w:p>
        </w:tc>
      </w:tr>
      <w:tr w:rsidR="00244996" w14:paraId="02895FD0" w14:textId="77777777" w:rsidTr="00D030E7">
        <w:tc>
          <w:tcPr>
            <w:tcW w:w="1555" w:type="dxa"/>
          </w:tcPr>
          <w:p w14:paraId="05CD7576" w14:textId="77777777" w:rsidR="00244996" w:rsidRDefault="00244996" w:rsidP="00D030E7">
            <w:pPr>
              <w:rPr>
                <w:rFonts w:cs="Arial"/>
              </w:rPr>
            </w:pPr>
            <w:r w:rsidRPr="00C25C7C">
              <w:rPr>
                <w:rFonts w:cs="Arial"/>
              </w:rPr>
              <w:t>Definition:</w:t>
            </w:r>
          </w:p>
        </w:tc>
        <w:tc>
          <w:tcPr>
            <w:tcW w:w="7455" w:type="dxa"/>
          </w:tcPr>
          <w:p w14:paraId="361FF1BB" w14:textId="3D7109EA" w:rsidR="00244996" w:rsidRDefault="00244996" w:rsidP="00DD66B7">
            <w:pPr>
              <w:rPr>
                <w:rFonts w:cs="Arial"/>
              </w:rPr>
            </w:pPr>
            <w:r w:rsidRPr="00244996">
              <w:rPr>
                <w:rFonts w:cs="Arial"/>
              </w:rPr>
              <w:t xml:space="preserve">The number of spatial data sets for which the metadata contains </w:t>
            </w:r>
            <w:r w:rsidR="00DD66B7">
              <w:rPr>
                <w:rFonts w:cs="Arial"/>
              </w:rPr>
              <w:t>one or more</w:t>
            </w:r>
            <w:r w:rsidR="00DD66B7" w:rsidRPr="00244996">
              <w:rPr>
                <w:rFonts w:cs="Arial"/>
              </w:rPr>
              <w:t xml:space="preserve"> </w:t>
            </w:r>
            <w:r w:rsidRPr="00244996">
              <w:rPr>
                <w:rFonts w:cs="Arial"/>
              </w:rPr>
              <w:t>keyword</w:t>
            </w:r>
            <w:r w:rsidR="00DD66B7">
              <w:rPr>
                <w:rFonts w:cs="Arial"/>
              </w:rPr>
              <w:t>s</w:t>
            </w:r>
            <w:r w:rsidRPr="00244996">
              <w:rPr>
                <w:rFonts w:cs="Arial"/>
              </w:rPr>
              <w:t xml:space="preserve"> from a register provided by the Commission indicating that the spatial data set is used for reporting under the environmental legislation</w:t>
            </w:r>
          </w:p>
        </w:tc>
      </w:tr>
      <w:tr w:rsidR="00244996" w14:paraId="7476EF77" w14:textId="77777777" w:rsidTr="00D030E7">
        <w:tc>
          <w:tcPr>
            <w:tcW w:w="1555" w:type="dxa"/>
          </w:tcPr>
          <w:p w14:paraId="6B2D6FF9" w14:textId="77777777" w:rsidR="00244996" w:rsidRDefault="00244996" w:rsidP="00D030E7">
            <w:pPr>
              <w:rPr>
                <w:rFonts w:cs="Arial"/>
              </w:rPr>
            </w:pPr>
            <w:r w:rsidRPr="00C25C7C">
              <w:rPr>
                <w:rFonts w:cs="Arial"/>
              </w:rPr>
              <w:t>Description:</w:t>
            </w:r>
          </w:p>
        </w:tc>
        <w:tc>
          <w:tcPr>
            <w:tcW w:w="7455" w:type="dxa"/>
          </w:tcPr>
          <w:p w14:paraId="492D9341" w14:textId="7D800997" w:rsidR="00244996" w:rsidRDefault="00244996" w:rsidP="008B4545">
            <w:pPr>
              <w:rPr>
                <w:rFonts w:cs="Arial"/>
              </w:rPr>
            </w:pPr>
            <w:r w:rsidRPr="00244996">
              <w:rPr>
                <w:rFonts w:cs="Arial"/>
              </w:rPr>
              <w:t xml:space="preserve">The number of spatial data set metadata records that contain </w:t>
            </w:r>
            <w:r w:rsidR="00DD66B7">
              <w:rPr>
                <w:rFonts w:cs="Arial"/>
              </w:rPr>
              <w:t>one or more</w:t>
            </w:r>
            <w:r w:rsidR="00DD66B7" w:rsidRPr="00244996">
              <w:rPr>
                <w:rFonts w:cs="Arial"/>
              </w:rPr>
              <w:t xml:space="preserve"> </w:t>
            </w:r>
            <w:r w:rsidRPr="00244996">
              <w:rPr>
                <w:rFonts w:cs="Arial"/>
              </w:rPr>
              <w:t>keyword</w:t>
            </w:r>
            <w:r w:rsidR="00DD66B7">
              <w:rPr>
                <w:rFonts w:cs="Arial"/>
              </w:rPr>
              <w:t>s</w:t>
            </w:r>
            <w:r w:rsidRPr="00244996">
              <w:rPr>
                <w:rFonts w:cs="Arial"/>
              </w:rPr>
              <w:t xml:space="preserve"> </w:t>
            </w:r>
            <w:r w:rsidR="008B4545">
              <w:rPr>
                <w:rFonts w:cs="Arial"/>
              </w:rPr>
              <w:t>of the</w:t>
            </w:r>
            <w:r w:rsidR="008B4545" w:rsidRPr="00244996">
              <w:rPr>
                <w:rFonts w:cs="Arial"/>
              </w:rPr>
              <w:t xml:space="preserve"> </w:t>
            </w:r>
            <w:r w:rsidRPr="00244996">
              <w:rPr>
                <w:rFonts w:cs="Arial"/>
              </w:rPr>
              <w:t>priority list of spatial data sets</w:t>
            </w:r>
            <w:r w:rsidR="008B4545">
              <w:rPr>
                <w:rFonts w:cs="Arial"/>
              </w:rPr>
              <w:t>.</w:t>
            </w:r>
          </w:p>
        </w:tc>
      </w:tr>
      <w:tr w:rsidR="00244996" w14:paraId="2D3F4962" w14:textId="77777777" w:rsidTr="00D030E7">
        <w:tc>
          <w:tcPr>
            <w:tcW w:w="1555" w:type="dxa"/>
          </w:tcPr>
          <w:p w14:paraId="11CD93AE" w14:textId="77777777" w:rsidR="00244996" w:rsidRDefault="00244996" w:rsidP="00D030E7">
            <w:pPr>
              <w:rPr>
                <w:rFonts w:cs="Arial"/>
              </w:rPr>
            </w:pPr>
            <w:r>
              <w:rPr>
                <w:rFonts w:cs="Arial"/>
              </w:rPr>
              <w:t>Calculation method</w:t>
            </w:r>
          </w:p>
        </w:tc>
        <w:tc>
          <w:tcPr>
            <w:tcW w:w="7455" w:type="dxa"/>
          </w:tcPr>
          <w:p w14:paraId="16A73FF9" w14:textId="2287751F" w:rsidR="00244996" w:rsidRDefault="00244996" w:rsidP="00D030E7">
            <w:pPr>
              <w:rPr>
                <w:rFonts w:cs="Arial"/>
              </w:rPr>
            </w:pPr>
            <w:r w:rsidRPr="00C25C7C">
              <w:rPr>
                <w:rFonts w:cs="Arial"/>
              </w:rPr>
              <w:t xml:space="preserve">This is the </w:t>
            </w:r>
            <w:r w:rsidR="00DD66B7">
              <w:rPr>
                <w:rFonts w:cs="Arial"/>
              </w:rPr>
              <w:t>number</w:t>
            </w:r>
            <w:r w:rsidR="00DD66B7" w:rsidRPr="00C25C7C">
              <w:rPr>
                <w:rFonts w:cs="Arial"/>
              </w:rPr>
              <w:t xml:space="preserve"> </w:t>
            </w:r>
            <w:r w:rsidRPr="00C25C7C">
              <w:rPr>
                <w:rFonts w:cs="Arial"/>
              </w:rPr>
              <w:t xml:space="preserve">of </w:t>
            </w:r>
            <w:r w:rsidRPr="00244996">
              <w:rPr>
                <w:rFonts w:cs="Arial"/>
              </w:rPr>
              <w:t xml:space="preserve">metadata records where </w:t>
            </w:r>
            <w:r w:rsidR="00DD66B7">
              <w:rPr>
                <w:rFonts w:cs="Arial"/>
              </w:rPr>
              <w:t>one or more</w:t>
            </w:r>
            <w:r w:rsidR="00DD66B7" w:rsidRPr="00244996">
              <w:rPr>
                <w:rFonts w:cs="Arial"/>
              </w:rPr>
              <w:t xml:space="preserve"> </w:t>
            </w:r>
            <w:r w:rsidRPr="00244996">
              <w:rPr>
                <w:rFonts w:cs="Arial"/>
              </w:rPr>
              <w:t>priority data set keyword</w:t>
            </w:r>
            <w:r w:rsidR="00DD66B7">
              <w:rPr>
                <w:rFonts w:cs="Arial"/>
              </w:rPr>
              <w:t>s</w:t>
            </w:r>
            <w:r w:rsidRPr="00244996">
              <w:rPr>
                <w:rFonts w:cs="Arial"/>
              </w:rPr>
              <w:t xml:space="preserve"> from the INSPIRE </w:t>
            </w:r>
            <w:r w:rsidR="00003C42">
              <w:rPr>
                <w:rFonts w:cs="Arial"/>
              </w:rPr>
              <w:t>Metadata code list r</w:t>
            </w:r>
            <w:r w:rsidR="00DD66B7">
              <w:rPr>
                <w:rFonts w:cs="Arial"/>
              </w:rPr>
              <w:t>egist</w:t>
            </w:r>
            <w:r w:rsidR="00003C42">
              <w:rPr>
                <w:rFonts w:cs="Arial"/>
              </w:rPr>
              <w:t>e</w:t>
            </w:r>
            <w:r w:rsidR="00DD66B7">
              <w:rPr>
                <w:rFonts w:cs="Arial"/>
              </w:rPr>
              <w:t>r</w:t>
            </w:r>
            <w:r w:rsidR="007C1693">
              <w:rPr>
                <w:rStyle w:val="FootnoteReference"/>
                <w:rFonts w:cs="Arial"/>
              </w:rPr>
              <w:footnoteReference w:id="3"/>
            </w:r>
            <w:r w:rsidR="00DD66B7" w:rsidRPr="00244996">
              <w:rPr>
                <w:rFonts w:cs="Arial"/>
              </w:rPr>
              <w:t xml:space="preserve"> </w:t>
            </w:r>
            <w:r w:rsidRPr="00244996">
              <w:rPr>
                <w:rFonts w:cs="Arial"/>
              </w:rPr>
              <w:t xml:space="preserve">is provided in the metadata "Keyword" element. Additional guidelines on the tagging of metadata </w:t>
            </w:r>
            <w:r w:rsidR="008B4545">
              <w:rPr>
                <w:rFonts w:cs="Arial"/>
              </w:rPr>
              <w:t>are</w:t>
            </w:r>
            <w:r w:rsidRPr="00244996">
              <w:rPr>
                <w:rFonts w:cs="Arial"/>
              </w:rPr>
              <w:t xml:space="preserve"> provided through actions 2016.5</w:t>
            </w:r>
            <w:r w:rsidR="007C1693">
              <w:rPr>
                <w:rStyle w:val="FootnoteReference"/>
                <w:rFonts w:cs="Arial"/>
              </w:rPr>
              <w:footnoteReference w:id="4"/>
            </w:r>
            <w:r w:rsidRPr="00244996">
              <w:rPr>
                <w:rFonts w:cs="Arial"/>
              </w:rPr>
              <w:t xml:space="preserve"> (priority ds) and 2018.1 (M&amp;R 2019).</w:t>
            </w:r>
          </w:p>
          <w:p w14:paraId="294DEB0E" w14:textId="6FF3703C" w:rsidR="00244996" w:rsidRDefault="00C60C43" w:rsidP="00A20A38">
            <w:pPr>
              <w:rPr>
                <w:rFonts w:cs="Arial"/>
              </w:rPr>
            </w:pPr>
            <w:r>
              <w:rPr>
                <w:rFonts w:cs="Arial"/>
              </w:rPr>
              <w:t xml:space="preserve">At </w:t>
            </w:r>
            <w:r w:rsidR="00244996">
              <w:rPr>
                <w:rFonts w:cs="Arial"/>
              </w:rPr>
              <w:t xml:space="preserve">the EU level, </w:t>
            </w:r>
            <w:r w:rsidR="00135B4E">
              <w:rPr>
                <w:rFonts w:cs="Arial"/>
              </w:rPr>
              <w:t xml:space="preserve">this </w:t>
            </w:r>
            <w:r w:rsidR="00244996">
              <w:rPr>
                <w:rFonts w:cs="Arial"/>
              </w:rPr>
              <w:t xml:space="preserve">indicator is calculated as </w:t>
            </w:r>
            <w:r w:rsidR="00477CFC">
              <w:rPr>
                <w:rFonts w:cs="Arial"/>
              </w:rPr>
              <w:t>the</w:t>
            </w:r>
            <w:r w:rsidR="00244996">
              <w:rPr>
                <w:rFonts w:cs="Arial"/>
              </w:rPr>
              <w:t xml:space="preserve"> sum of </w:t>
            </w:r>
            <w:r w:rsidR="00244996" w:rsidRPr="00F04EB8">
              <w:rPr>
                <w:rFonts w:cs="Arial"/>
              </w:rPr>
              <w:t>all M</w:t>
            </w:r>
            <w:r w:rsidR="00135B4E">
              <w:rPr>
                <w:rFonts w:cs="Arial"/>
              </w:rPr>
              <w:t xml:space="preserve">ember </w:t>
            </w:r>
            <w:r w:rsidR="00244996" w:rsidRPr="00F04EB8">
              <w:rPr>
                <w:rFonts w:cs="Arial"/>
              </w:rPr>
              <w:t>S</w:t>
            </w:r>
            <w:r w:rsidR="00135B4E">
              <w:rPr>
                <w:rFonts w:cs="Arial"/>
              </w:rPr>
              <w:t>tate</w:t>
            </w:r>
            <w:r w:rsidR="00244996" w:rsidRPr="00F04EB8">
              <w:rPr>
                <w:rFonts w:cs="Arial"/>
              </w:rPr>
              <w:t xml:space="preserve"> </w:t>
            </w:r>
            <w:r w:rsidR="00A20A38">
              <w:rPr>
                <w:rFonts w:cs="Arial"/>
              </w:rPr>
              <w:t xml:space="preserve">relevant </w:t>
            </w:r>
            <w:r w:rsidR="00244996" w:rsidRPr="00F04EB8">
              <w:rPr>
                <w:rFonts w:cs="Arial"/>
              </w:rPr>
              <w:t>metadata records</w:t>
            </w:r>
            <w:r w:rsidR="00244996">
              <w:rPr>
                <w:rFonts w:cs="Arial"/>
              </w:rPr>
              <w:t>.</w:t>
            </w:r>
          </w:p>
        </w:tc>
      </w:tr>
    </w:tbl>
    <w:p w14:paraId="2B84CC8F" w14:textId="5FC9D890" w:rsidR="00244996" w:rsidRDefault="00244996" w:rsidP="00244996">
      <w:pPr>
        <w:rPr>
          <w:rFonts w:cs="Arial"/>
        </w:rPr>
      </w:pPr>
    </w:p>
    <w:tbl>
      <w:tblPr>
        <w:tblStyle w:val="TableGrid"/>
        <w:tblW w:w="9246" w:type="dxa"/>
        <w:tblLayout w:type="fixed"/>
        <w:tblLook w:val="04A0" w:firstRow="1" w:lastRow="0" w:firstColumn="1" w:lastColumn="0" w:noHBand="0" w:noVBand="1"/>
      </w:tblPr>
      <w:tblGrid>
        <w:gridCol w:w="1791"/>
        <w:gridCol w:w="7455"/>
      </w:tblGrid>
      <w:tr w:rsidR="00244996" w:rsidRPr="00F04EB8" w14:paraId="60A6E465" w14:textId="77777777" w:rsidTr="005004A3">
        <w:tc>
          <w:tcPr>
            <w:tcW w:w="1791" w:type="dxa"/>
          </w:tcPr>
          <w:p w14:paraId="20A86537" w14:textId="77777777" w:rsidR="00244996" w:rsidRPr="00F04EB8" w:rsidRDefault="00244996" w:rsidP="00D030E7">
            <w:pPr>
              <w:rPr>
                <w:rFonts w:cs="Arial"/>
                <w:b/>
              </w:rPr>
            </w:pPr>
            <w:r w:rsidRPr="00F04EB8">
              <w:rPr>
                <w:rFonts w:cs="Arial"/>
                <w:b/>
              </w:rPr>
              <w:t>Indicator:</w:t>
            </w:r>
          </w:p>
        </w:tc>
        <w:tc>
          <w:tcPr>
            <w:tcW w:w="7455" w:type="dxa"/>
          </w:tcPr>
          <w:p w14:paraId="773FAB98" w14:textId="0D6FCC5F" w:rsidR="00244996" w:rsidRPr="00F04EB8" w:rsidRDefault="00043A34" w:rsidP="00D030E7">
            <w:pPr>
              <w:rPr>
                <w:rFonts w:cs="Arial"/>
                <w:b/>
              </w:rPr>
            </w:pPr>
            <w:r>
              <w:rPr>
                <w:rFonts w:cs="Arial"/>
                <w:b/>
              </w:rPr>
              <w:t>DSi1.</w:t>
            </w:r>
            <w:r w:rsidR="004D5638">
              <w:rPr>
                <w:rFonts w:cs="Arial"/>
                <w:b/>
              </w:rPr>
              <w:t>4</w:t>
            </w:r>
          </w:p>
        </w:tc>
      </w:tr>
      <w:tr w:rsidR="00244996" w14:paraId="3F6BA663" w14:textId="77777777" w:rsidTr="005004A3">
        <w:tc>
          <w:tcPr>
            <w:tcW w:w="1791" w:type="dxa"/>
          </w:tcPr>
          <w:p w14:paraId="7D94F265" w14:textId="77777777" w:rsidR="00244996" w:rsidRDefault="00244996" w:rsidP="00D030E7">
            <w:pPr>
              <w:rPr>
                <w:rFonts w:cs="Arial"/>
              </w:rPr>
            </w:pPr>
            <w:r w:rsidRPr="00C25C7C">
              <w:rPr>
                <w:rFonts w:cs="Arial"/>
              </w:rPr>
              <w:t>Definition:</w:t>
            </w:r>
          </w:p>
        </w:tc>
        <w:tc>
          <w:tcPr>
            <w:tcW w:w="7455" w:type="dxa"/>
          </w:tcPr>
          <w:p w14:paraId="5624089F" w14:textId="09CF0EBC" w:rsidR="00244996" w:rsidRDefault="004D5638" w:rsidP="00D030E7">
            <w:pPr>
              <w:rPr>
                <w:rFonts w:cs="Arial"/>
              </w:rPr>
            </w:pPr>
            <w:r w:rsidRPr="004D5638">
              <w:rPr>
                <w:rFonts w:cs="Arial"/>
              </w:rPr>
              <w:t>The number of spatial data sets for which the metadata contains a keyword from a register provided by the Commission indicating that the spatial data set covers regional territory</w:t>
            </w:r>
          </w:p>
        </w:tc>
      </w:tr>
      <w:tr w:rsidR="00244996" w14:paraId="08DBA508" w14:textId="77777777" w:rsidTr="005004A3">
        <w:tc>
          <w:tcPr>
            <w:tcW w:w="1791" w:type="dxa"/>
          </w:tcPr>
          <w:p w14:paraId="1FDAE9A7" w14:textId="77777777" w:rsidR="00244996" w:rsidRDefault="00244996" w:rsidP="00D030E7">
            <w:pPr>
              <w:rPr>
                <w:rFonts w:cs="Arial"/>
              </w:rPr>
            </w:pPr>
            <w:r w:rsidRPr="00C25C7C">
              <w:rPr>
                <w:rFonts w:cs="Arial"/>
              </w:rPr>
              <w:lastRenderedPageBreak/>
              <w:t>Description:</w:t>
            </w:r>
          </w:p>
        </w:tc>
        <w:tc>
          <w:tcPr>
            <w:tcW w:w="7455" w:type="dxa"/>
          </w:tcPr>
          <w:p w14:paraId="2C425C4C" w14:textId="5459A3BB" w:rsidR="00244996" w:rsidRDefault="004D5638" w:rsidP="00D030E7">
            <w:pPr>
              <w:rPr>
                <w:rFonts w:cs="Arial"/>
              </w:rPr>
            </w:pPr>
            <w:r w:rsidRPr="004D5638">
              <w:rPr>
                <w:rFonts w:cs="Arial"/>
              </w:rPr>
              <w:t>The number of spatial data set metadata records that contain a keyword "Regional"</w:t>
            </w:r>
          </w:p>
        </w:tc>
      </w:tr>
      <w:tr w:rsidR="00244996" w14:paraId="65AB078E" w14:textId="77777777" w:rsidTr="005004A3">
        <w:tc>
          <w:tcPr>
            <w:tcW w:w="1791" w:type="dxa"/>
          </w:tcPr>
          <w:p w14:paraId="6D56DA14" w14:textId="77777777" w:rsidR="00244996" w:rsidRDefault="00244996" w:rsidP="00D030E7">
            <w:pPr>
              <w:rPr>
                <w:rFonts w:cs="Arial"/>
              </w:rPr>
            </w:pPr>
            <w:r>
              <w:rPr>
                <w:rFonts w:cs="Arial"/>
              </w:rPr>
              <w:t>Calculation method</w:t>
            </w:r>
          </w:p>
        </w:tc>
        <w:tc>
          <w:tcPr>
            <w:tcW w:w="7455" w:type="dxa"/>
          </w:tcPr>
          <w:p w14:paraId="37F9179E" w14:textId="707508F6" w:rsidR="00244996" w:rsidRDefault="00244996" w:rsidP="00D030E7">
            <w:pPr>
              <w:rPr>
                <w:rFonts w:cs="Arial"/>
              </w:rPr>
            </w:pPr>
            <w:r w:rsidRPr="00C25C7C">
              <w:rPr>
                <w:rFonts w:cs="Arial"/>
              </w:rPr>
              <w:t xml:space="preserve">This is the amount of </w:t>
            </w:r>
            <w:r w:rsidR="004D5638">
              <w:rPr>
                <w:rFonts w:cs="Arial"/>
              </w:rPr>
              <w:t xml:space="preserve">metadata records where </w:t>
            </w:r>
            <w:r w:rsidR="004D5638" w:rsidRPr="004D5638">
              <w:rPr>
                <w:rFonts w:cs="Arial"/>
              </w:rPr>
              <w:t>a keyword "Regional" is provided in the metadata "Keyword" element</w:t>
            </w:r>
            <w:r w:rsidR="00A20A38">
              <w:rPr>
                <w:rFonts w:cs="Arial"/>
              </w:rPr>
              <w:t xml:space="preserve">. The keyword to be used is a value of the spatial scope code list of the INSPIRE </w:t>
            </w:r>
            <w:r w:rsidR="00003C42">
              <w:rPr>
                <w:rFonts w:cs="Arial"/>
              </w:rPr>
              <w:t>Metadata code list r</w:t>
            </w:r>
            <w:r w:rsidR="00A20A38">
              <w:rPr>
                <w:rFonts w:cs="Arial"/>
              </w:rPr>
              <w:t>egist</w:t>
            </w:r>
            <w:r w:rsidR="00003C42">
              <w:rPr>
                <w:rFonts w:cs="Arial"/>
              </w:rPr>
              <w:t>e</w:t>
            </w:r>
            <w:r w:rsidR="00A20A38">
              <w:rPr>
                <w:rFonts w:cs="Arial"/>
              </w:rPr>
              <w:t>r</w:t>
            </w:r>
            <w:r w:rsidR="007C1693">
              <w:rPr>
                <w:rStyle w:val="FootnoteReference"/>
                <w:rFonts w:cs="Arial"/>
              </w:rPr>
              <w:footnoteReference w:id="5"/>
            </w:r>
            <w:r w:rsidR="004D5638" w:rsidRPr="004D5638">
              <w:rPr>
                <w:rFonts w:cs="Arial"/>
              </w:rPr>
              <w:t>. Additional guidelines on the tagging of metadata will be provided</w:t>
            </w:r>
            <w:r w:rsidR="008B4545">
              <w:rPr>
                <w:rFonts w:cs="Arial"/>
              </w:rPr>
              <w:t xml:space="preserve">. </w:t>
            </w:r>
            <w:r w:rsidR="004D5638" w:rsidRPr="004D5638">
              <w:rPr>
                <w:rFonts w:cs="Arial"/>
              </w:rPr>
              <w:t xml:space="preserve"> </w:t>
            </w:r>
          </w:p>
          <w:p w14:paraId="6A0BE708" w14:textId="50651220" w:rsidR="00244996" w:rsidRDefault="00511C92" w:rsidP="00AD7AE3">
            <w:pPr>
              <w:rPr>
                <w:rFonts w:cs="Arial"/>
              </w:rPr>
            </w:pPr>
            <w:r>
              <w:rPr>
                <w:rFonts w:cs="Arial"/>
              </w:rPr>
              <w:t xml:space="preserve">At </w:t>
            </w:r>
            <w:r w:rsidR="00244996">
              <w:rPr>
                <w:rFonts w:cs="Arial"/>
              </w:rPr>
              <w:t xml:space="preserve">the EU level, </w:t>
            </w:r>
            <w:r w:rsidR="00135B4E">
              <w:rPr>
                <w:rFonts w:cs="Arial"/>
              </w:rPr>
              <w:t xml:space="preserve">this </w:t>
            </w:r>
            <w:r w:rsidR="00244996">
              <w:rPr>
                <w:rFonts w:cs="Arial"/>
              </w:rPr>
              <w:t xml:space="preserve">indicator is calculated as </w:t>
            </w:r>
            <w:r w:rsidR="00135B4E">
              <w:rPr>
                <w:rFonts w:cs="Arial"/>
              </w:rPr>
              <w:t>the</w:t>
            </w:r>
            <w:r w:rsidR="00244996">
              <w:rPr>
                <w:rFonts w:cs="Arial"/>
              </w:rPr>
              <w:t xml:space="preserve"> sum of </w:t>
            </w:r>
            <w:r w:rsidR="00244996" w:rsidRPr="00F04EB8">
              <w:rPr>
                <w:rFonts w:cs="Arial"/>
              </w:rPr>
              <w:t>all M</w:t>
            </w:r>
            <w:r w:rsidR="00135B4E">
              <w:rPr>
                <w:rFonts w:cs="Arial"/>
              </w:rPr>
              <w:t xml:space="preserve">ember </w:t>
            </w:r>
            <w:r w:rsidR="00244996" w:rsidRPr="00F04EB8">
              <w:rPr>
                <w:rFonts w:cs="Arial"/>
              </w:rPr>
              <w:t>S</w:t>
            </w:r>
            <w:r w:rsidR="00135B4E">
              <w:rPr>
                <w:rFonts w:cs="Arial"/>
              </w:rPr>
              <w:t>tate</w:t>
            </w:r>
            <w:r w:rsidR="00244996" w:rsidRPr="00F04EB8">
              <w:rPr>
                <w:rFonts w:cs="Arial"/>
              </w:rPr>
              <w:t xml:space="preserve"> </w:t>
            </w:r>
            <w:r w:rsidR="00AD7AE3">
              <w:rPr>
                <w:rFonts w:cs="Arial"/>
              </w:rPr>
              <w:t>relevant</w:t>
            </w:r>
            <w:r w:rsidR="00244996">
              <w:rPr>
                <w:rFonts w:cs="Arial"/>
              </w:rPr>
              <w:t xml:space="preserve"> </w:t>
            </w:r>
            <w:r w:rsidR="00244996" w:rsidRPr="00F04EB8">
              <w:rPr>
                <w:rFonts w:cs="Arial"/>
              </w:rPr>
              <w:t>metadata records</w:t>
            </w:r>
            <w:r w:rsidR="00244996">
              <w:rPr>
                <w:rFonts w:cs="Arial"/>
              </w:rPr>
              <w:t>.</w:t>
            </w:r>
          </w:p>
        </w:tc>
      </w:tr>
    </w:tbl>
    <w:p w14:paraId="64876A57" w14:textId="1CE16C8F" w:rsidR="004D5638" w:rsidRDefault="004D5638" w:rsidP="004D5638">
      <w:pPr>
        <w:rPr>
          <w:rFonts w:cs="Arial"/>
        </w:rPr>
      </w:pPr>
    </w:p>
    <w:tbl>
      <w:tblPr>
        <w:tblStyle w:val="TableGrid"/>
        <w:tblW w:w="0" w:type="auto"/>
        <w:tblLayout w:type="fixed"/>
        <w:tblLook w:val="04A0" w:firstRow="1" w:lastRow="0" w:firstColumn="1" w:lastColumn="0" w:noHBand="0" w:noVBand="1"/>
      </w:tblPr>
      <w:tblGrid>
        <w:gridCol w:w="1555"/>
        <w:gridCol w:w="7455"/>
      </w:tblGrid>
      <w:tr w:rsidR="004D5638" w:rsidRPr="00F04EB8" w14:paraId="372E1AF9" w14:textId="77777777" w:rsidTr="00D030E7">
        <w:tc>
          <w:tcPr>
            <w:tcW w:w="1555" w:type="dxa"/>
          </w:tcPr>
          <w:p w14:paraId="3A077E65" w14:textId="77777777" w:rsidR="004D5638" w:rsidRPr="00F04EB8" w:rsidRDefault="004D5638" w:rsidP="00D030E7">
            <w:pPr>
              <w:rPr>
                <w:rFonts w:cs="Arial"/>
                <w:b/>
              </w:rPr>
            </w:pPr>
            <w:r w:rsidRPr="00F04EB8">
              <w:rPr>
                <w:rFonts w:cs="Arial"/>
                <w:b/>
              </w:rPr>
              <w:t>Indicator:</w:t>
            </w:r>
          </w:p>
        </w:tc>
        <w:tc>
          <w:tcPr>
            <w:tcW w:w="7455" w:type="dxa"/>
          </w:tcPr>
          <w:p w14:paraId="4C88CD05" w14:textId="0584FB6B" w:rsidR="004D5638" w:rsidRPr="00F04EB8" w:rsidRDefault="00043A34" w:rsidP="00D030E7">
            <w:pPr>
              <w:rPr>
                <w:rFonts w:cs="Arial"/>
                <w:b/>
              </w:rPr>
            </w:pPr>
            <w:r>
              <w:rPr>
                <w:rFonts w:cs="Arial"/>
                <w:b/>
              </w:rPr>
              <w:t>DSi1.</w:t>
            </w:r>
            <w:r w:rsidR="004D5638">
              <w:rPr>
                <w:rFonts w:cs="Arial"/>
                <w:b/>
              </w:rPr>
              <w:t>5</w:t>
            </w:r>
          </w:p>
        </w:tc>
      </w:tr>
      <w:tr w:rsidR="004D5638" w14:paraId="17359F64" w14:textId="77777777" w:rsidTr="00D030E7">
        <w:tc>
          <w:tcPr>
            <w:tcW w:w="1555" w:type="dxa"/>
          </w:tcPr>
          <w:p w14:paraId="7ECD9A58" w14:textId="77777777" w:rsidR="004D5638" w:rsidRDefault="004D5638" w:rsidP="00D030E7">
            <w:pPr>
              <w:rPr>
                <w:rFonts w:cs="Arial"/>
              </w:rPr>
            </w:pPr>
            <w:r w:rsidRPr="00C25C7C">
              <w:rPr>
                <w:rFonts w:cs="Arial"/>
              </w:rPr>
              <w:t>Definition:</w:t>
            </w:r>
          </w:p>
        </w:tc>
        <w:tc>
          <w:tcPr>
            <w:tcW w:w="7455" w:type="dxa"/>
          </w:tcPr>
          <w:p w14:paraId="30A724A5" w14:textId="2EB41EDA" w:rsidR="004D5638" w:rsidRDefault="004D5638" w:rsidP="00D030E7">
            <w:pPr>
              <w:rPr>
                <w:rFonts w:cs="Arial"/>
              </w:rPr>
            </w:pPr>
            <w:r w:rsidRPr="004D5638">
              <w:rPr>
                <w:rFonts w:cs="Arial"/>
              </w:rPr>
              <w:t>The number of spatial data sets for which the metadata contains a keyword from a register provided by the Commission indicating that the spatial data set covers the national territory</w:t>
            </w:r>
          </w:p>
        </w:tc>
      </w:tr>
      <w:tr w:rsidR="004D5638" w14:paraId="6DC2ABDE" w14:textId="77777777" w:rsidTr="00D030E7">
        <w:tc>
          <w:tcPr>
            <w:tcW w:w="1555" w:type="dxa"/>
          </w:tcPr>
          <w:p w14:paraId="7F3083CF" w14:textId="77777777" w:rsidR="004D5638" w:rsidRDefault="004D5638" w:rsidP="00D030E7">
            <w:pPr>
              <w:rPr>
                <w:rFonts w:cs="Arial"/>
              </w:rPr>
            </w:pPr>
            <w:r w:rsidRPr="00C25C7C">
              <w:rPr>
                <w:rFonts w:cs="Arial"/>
              </w:rPr>
              <w:t>Description:</w:t>
            </w:r>
          </w:p>
        </w:tc>
        <w:tc>
          <w:tcPr>
            <w:tcW w:w="7455" w:type="dxa"/>
          </w:tcPr>
          <w:p w14:paraId="033D9D28" w14:textId="02B5AEBA" w:rsidR="004D5638" w:rsidRDefault="004D5638" w:rsidP="00D030E7">
            <w:pPr>
              <w:rPr>
                <w:rFonts w:cs="Arial"/>
              </w:rPr>
            </w:pPr>
            <w:r w:rsidRPr="004D5638">
              <w:rPr>
                <w:rFonts w:cs="Arial"/>
              </w:rPr>
              <w:t>The number of spatial data set metadata records that contain a keyword "National"</w:t>
            </w:r>
            <w:r w:rsidR="008711A2">
              <w:rPr>
                <w:rFonts w:cs="Arial"/>
              </w:rPr>
              <w:t>.</w:t>
            </w:r>
          </w:p>
        </w:tc>
      </w:tr>
      <w:tr w:rsidR="004D5638" w14:paraId="189A3F1F" w14:textId="77777777" w:rsidTr="00D030E7">
        <w:tc>
          <w:tcPr>
            <w:tcW w:w="1555" w:type="dxa"/>
          </w:tcPr>
          <w:p w14:paraId="60486786" w14:textId="77777777" w:rsidR="004D5638" w:rsidRDefault="004D5638" w:rsidP="00D030E7">
            <w:pPr>
              <w:rPr>
                <w:rFonts w:cs="Arial"/>
              </w:rPr>
            </w:pPr>
            <w:r>
              <w:rPr>
                <w:rFonts w:cs="Arial"/>
              </w:rPr>
              <w:t>Calculation method</w:t>
            </w:r>
          </w:p>
        </w:tc>
        <w:tc>
          <w:tcPr>
            <w:tcW w:w="7455" w:type="dxa"/>
          </w:tcPr>
          <w:p w14:paraId="54B8649B" w14:textId="0CC55034" w:rsidR="004D5638" w:rsidRDefault="004D5638" w:rsidP="00D030E7">
            <w:pPr>
              <w:rPr>
                <w:rFonts w:cs="Arial"/>
              </w:rPr>
            </w:pPr>
            <w:r w:rsidRPr="00C25C7C">
              <w:rPr>
                <w:rFonts w:cs="Arial"/>
              </w:rPr>
              <w:t xml:space="preserve">This is the amount </w:t>
            </w:r>
            <w:r w:rsidRPr="004D5638">
              <w:rPr>
                <w:rFonts w:cs="Arial"/>
              </w:rPr>
              <w:t xml:space="preserve">of metadata records where a keyword "National" is provided in the metadata "Keyword" element. </w:t>
            </w:r>
            <w:r w:rsidR="007C1693" w:rsidRPr="007C1693">
              <w:rPr>
                <w:rFonts w:cs="Arial"/>
              </w:rPr>
              <w:t>The keyword to be used is a value of the spatial scope co</w:t>
            </w:r>
            <w:r w:rsidR="007C1693">
              <w:rPr>
                <w:rFonts w:cs="Arial"/>
              </w:rPr>
              <w:t xml:space="preserve">de list of the INSPIRE </w:t>
            </w:r>
            <w:r w:rsidR="00003C42">
              <w:rPr>
                <w:rFonts w:cs="Arial"/>
              </w:rPr>
              <w:t>Metadata code list r</w:t>
            </w:r>
            <w:r w:rsidR="007C1693">
              <w:rPr>
                <w:rFonts w:cs="Arial"/>
              </w:rPr>
              <w:t>egist</w:t>
            </w:r>
            <w:r w:rsidR="00003C42">
              <w:rPr>
                <w:rFonts w:cs="Arial"/>
              </w:rPr>
              <w:t>e</w:t>
            </w:r>
            <w:r w:rsidR="007C1693">
              <w:rPr>
                <w:rFonts w:cs="Arial"/>
              </w:rPr>
              <w:t>r</w:t>
            </w:r>
            <w:r w:rsidR="007C1693">
              <w:rPr>
                <w:rStyle w:val="FootnoteReference"/>
                <w:rFonts w:cs="Arial"/>
              </w:rPr>
              <w:footnoteReference w:id="6"/>
            </w:r>
            <w:r w:rsidR="007C1693" w:rsidRPr="007C1693">
              <w:rPr>
                <w:rFonts w:cs="Arial"/>
              </w:rPr>
              <w:t>.</w:t>
            </w:r>
            <w:r w:rsidR="007C1693">
              <w:rPr>
                <w:rFonts w:cs="Arial"/>
              </w:rPr>
              <w:t xml:space="preserve"> </w:t>
            </w:r>
            <w:r w:rsidRPr="004D5638">
              <w:rPr>
                <w:rFonts w:cs="Arial"/>
              </w:rPr>
              <w:t>Additional guidelines on the tagging of metadata will be provided</w:t>
            </w:r>
            <w:r w:rsidR="00135B4E">
              <w:rPr>
                <w:rFonts w:cs="Arial"/>
              </w:rPr>
              <w:t>.</w:t>
            </w:r>
          </w:p>
          <w:p w14:paraId="40F881D9" w14:textId="5CADBAA2" w:rsidR="004D5638" w:rsidRDefault="0024267D" w:rsidP="00AD7AE3">
            <w:pPr>
              <w:rPr>
                <w:rFonts w:cs="Arial"/>
              </w:rPr>
            </w:pPr>
            <w:r>
              <w:rPr>
                <w:rFonts w:cs="Arial"/>
              </w:rPr>
              <w:t>At</w:t>
            </w:r>
            <w:r w:rsidR="004D5638">
              <w:rPr>
                <w:rFonts w:cs="Arial"/>
              </w:rPr>
              <w:t xml:space="preserve"> the EU level, </w:t>
            </w:r>
            <w:r w:rsidR="00135B4E">
              <w:rPr>
                <w:rFonts w:cs="Arial"/>
              </w:rPr>
              <w:t xml:space="preserve">this </w:t>
            </w:r>
            <w:r w:rsidR="004D5638">
              <w:rPr>
                <w:rFonts w:cs="Arial"/>
              </w:rPr>
              <w:t xml:space="preserve">indicator is calculated as </w:t>
            </w:r>
            <w:r w:rsidR="00135B4E">
              <w:rPr>
                <w:rFonts w:cs="Arial"/>
              </w:rPr>
              <w:t>the</w:t>
            </w:r>
            <w:r w:rsidR="004D5638">
              <w:rPr>
                <w:rFonts w:cs="Arial"/>
              </w:rPr>
              <w:t xml:space="preserve"> sum of </w:t>
            </w:r>
            <w:r w:rsidR="004D5638" w:rsidRPr="00F04EB8">
              <w:rPr>
                <w:rFonts w:cs="Arial"/>
              </w:rPr>
              <w:t>all M</w:t>
            </w:r>
            <w:r w:rsidR="00135B4E">
              <w:rPr>
                <w:rFonts w:cs="Arial"/>
              </w:rPr>
              <w:t xml:space="preserve">ember </w:t>
            </w:r>
            <w:r w:rsidR="004D5638" w:rsidRPr="00F04EB8">
              <w:rPr>
                <w:rFonts w:cs="Arial"/>
              </w:rPr>
              <w:t>S</w:t>
            </w:r>
            <w:r w:rsidR="00135B4E">
              <w:rPr>
                <w:rFonts w:cs="Arial"/>
              </w:rPr>
              <w:t>tate</w:t>
            </w:r>
            <w:r w:rsidR="004D5638" w:rsidRPr="00F04EB8">
              <w:rPr>
                <w:rFonts w:cs="Arial"/>
              </w:rPr>
              <w:t xml:space="preserve"> </w:t>
            </w:r>
            <w:r w:rsidR="00AD7AE3">
              <w:rPr>
                <w:rFonts w:cs="Arial"/>
              </w:rPr>
              <w:t xml:space="preserve">relevant </w:t>
            </w:r>
            <w:r w:rsidR="004D5638" w:rsidRPr="00F04EB8">
              <w:rPr>
                <w:rFonts w:cs="Arial"/>
              </w:rPr>
              <w:t>metadata records</w:t>
            </w:r>
            <w:r w:rsidR="004D5638">
              <w:rPr>
                <w:rFonts w:cs="Arial"/>
              </w:rPr>
              <w:t>.</w:t>
            </w:r>
          </w:p>
        </w:tc>
      </w:tr>
    </w:tbl>
    <w:p w14:paraId="70744134" w14:textId="77777777" w:rsidR="004D5638" w:rsidRDefault="004D5638" w:rsidP="004D5638">
      <w:pPr>
        <w:rPr>
          <w:rFonts w:cs="Arial"/>
        </w:rPr>
      </w:pPr>
    </w:p>
    <w:p w14:paraId="4F6B44D6" w14:textId="7BC49B80" w:rsidR="004D5638" w:rsidRDefault="004D5638" w:rsidP="004D5638">
      <w:pPr>
        <w:pStyle w:val="Heading2"/>
        <w:numPr>
          <w:ilvl w:val="0"/>
          <w:numId w:val="0"/>
        </w:numPr>
        <w:ind w:left="709" w:hanging="709"/>
      </w:pPr>
      <w:bookmarkStart w:id="3" w:name="_Toc10807202"/>
      <w:r>
        <w:t xml:space="preserve">2.2 </w:t>
      </w:r>
      <w:r w:rsidRPr="003B387E">
        <w:t xml:space="preserve">Monitoring </w:t>
      </w:r>
      <w:r w:rsidRPr="004D5638">
        <w:t>of the conformity of metadata</w:t>
      </w:r>
      <w:bookmarkEnd w:id="3"/>
    </w:p>
    <w:p w14:paraId="1A01E0EF" w14:textId="71A64CB9" w:rsidR="00374F4A" w:rsidRDefault="00374F4A" w:rsidP="00374F4A">
      <w:pPr>
        <w:rPr>
          <w:rFonts w:cs="Arial"/>
        </w:rPr>
      </w:pPr>
    </w:p>
    <w:tbl>
      <w:tblPr>
        <w:tblStyle w:val="TableGrid"/>
        <w:tblW w:w="0" w:type="auto"/>
        <w:tblLayout w:type="fixed"/>
        <w:tblLook w:val="04A0" w:firstRow="1" w:lastRow="0" w:firstColumn="1" w:lastColumn="0" w:noHBand="0" w:noVBand="1"/>
      </w:tblPr>
      <w:tblGrid>
        <w:gridCol w:w="1555"/>
        <w:gridCol w:w="7455"/>
      </w:tblGrid>
      <w:tr w:rsidR="00374F4A" w:rsidRPr="00F04EB8" w14:paraId="7794D4E3" w14:textId="77777777" w:rsidTr="00D030E7">
        <w:tc>
          <w:tcPr>
            <w:tcW w:w="1555" w:type="dxa"/>
          </w:tcPr>
          <w:p w14:paraId="551EDFCE" w14:textId="77777777" w:rsidR="00374F4A" w:rsidRPr="00F04EB8" w:rsidRDefault="00374F4A" w:rsidP="00D030E7">
            <w:pPr>
              <w:rPr>
                <w:rFonts w:cs="Arial"/>
                <w:b/>
              </w:rPr>
            </w:pPr>
            <w:r w:rsidRPr="00F04EB8">
              <w:rPr>
                <w:rFonts w:cs="Arial"/>
                <w:b/>
              </w:rPr>
              <w:t>Indicator:</w:t>
            </w:r>
          </w:p>
        </w:tc>
        <w:tc>
          <w:tcPr>
            <w:tcW w:w="7455" w:type="dxa"/>
          </w:tcPr>
          <w:p w14:paraId="1C7CB768" w14:textId="1ED58688" w:rsidR="00374F4A" w:rsidRPr="00F04EB8" w:rsidRDefault="00374F4A" w:rsidP="00D030E7">
            <w:pPr>
              <w:rPr>
                <w:rFonts w:cs="Arial"/>
                <w:b/>
              </w:rPr>
            </w:pPr>
            <w:r w:rsidRPr="00374F4A">
              <w:rPr>
                <w:rFonts w:cs="Arial"/>
                <w:b/>
              </w:rPr>
              <w:t>MDi1.1</w:t>
            </w:r>
          </w:p>
        </w:tc>
      </w:tr>
      <w:tr w:rsidR="00374F4A" w14:paraId="1BFC2DE8" w14:textId="77777777" w:rsidTr="00D030E7">
        <w:tc>
          <w:tcPr>
            <w:tcW w:w="1555" w:type="dxa"/>
          </w:tcPr>
          <w:p w14:paraId="23B80CF1" w14:textId="77777777" w:rsidR="00374F4A" w:rsidRDefault="00374F4A" w:rsidP="00D030E7">
            <w:pPr>
              <w:rPr>
                <w:rFonts w:cs="Arial"/>
              </w:rPr>
            </w:pPr>
            <w:r w:rsidRPr="00C25C7C">
              <w:rPr>
                <w:rFonts w:cs="Arial"/>
              </w:rPr>
              <w:t>Definition:</w:t>
            </w:r>
          </w:p>
        </w:tc>
        <w:tc>
          <w:tcPr>
            <w:tcW w:w="7455" w:type="dxa"/>
          </w:tcPr>
          <w:p w14:paraId="66D5326B" w14:textId="7BBEC3D9" w:rsidR="00374F4A" w:rsidRDefault="00374F4A" w:rsidP="00D030E7">
            <w:pPr>
              <w:rPr>
                <w:rFonts w:cs="Arial"/>
              </w:rPr>
            </w:pPr>
            <w:r>
              <w:rPr>
                <w:rFonts w:cs="Arial"/>
              </w:rPr>
              <w:t>P</w:t>
            </w:r>
            <w:r w:rsidRPr="00374F4A">
              <w:rPr>
                <w:rFonts w:cs="Arial"/>
              </w:rPr>
              <w:t xml:space="preserve">ercentage of metadata for spatial data sets conformant with Commission </w:t>
            </w:r>
            <w:r w:rsidRPr="00374F4A">
              <w:rPr>
                <w:rFonts w:cs="Arial"/>
              </w:rPr>
              <w:lastRenderedPageBreak/>
              <w:t>Regulation (EC) No 1205/20087 as regards metadata</w:t>
            </w:r>
          </w:p>
        </w:tc>
      </w:tr>
      <w:tr w:rsidR="00374F4A" w14:paraId="031874FC" w14:textId="77777777" w:rsidTr="00D030E7">
        <w:tc>
          <w:tcPr>
            <w:tcW w:w="1555" w:type="dxa"/>
          </w:tcPr>
          <w:p w14:paraId="3479DA80" w14:textId="77777777" w:rsidR="00374F4A" w:rsidRDefault="00374F4A" w:rsidP="00D030E7">
            <w:pPr>
              <w:rPr>
                <w:rFonts w:cs="Arial"/>
              </w:rPr>
            </w:pPr>
            <w:r w:rsidRPr="00C25C7C">
              <w:rPr>
                <w:rFonts w:cs="Arial"/>
              </w:rPr>
              <w:lastRenderedPageBreak/>
              <w:t>Description:</w:t>
            </w:r>
          </w:p>
        </w:tc>
        <w:tc>
          <w:tcPr>
            <w:tcW w:w="7455" w:type="dxa"/>
          </w:tcPr>
          <w:p w14:paraId="41C02356" w14:textId="0FDDBB3C" w:rsidR="00374F4A" w:rsidRDefault="00374F4A" w:rsidP="00D030E7">
            <w:pPr>
              <w:rPr>
                <w:rFonts w:cs="Arial"/>
              </w:rPr>
            </w:pPr>
            <w:r w:rsidRPr="00374F4A">
              <w:rPr>
                <w:rFonts w:cs="Arial"/>
              </w:rPr>
              <w:t>The number of spatial data sets for which metadata are in conformity with Regulation (EC) No 1205/2008 multiplied by a hundred and divided by the number of spatial data sets for which metadata exist as given by indicator "DSi1.1"</w:t>
            </w:r>
            <w:r w:rsidR="00A20A38">
              <w:rPr>
                <w:rFonts w:cs="Arial"/>
              </w:rPr>
              <w:t>.</w:t>
            </w:r>
          </w:p>
        </w:tc>
      </w:tr>
      <w:tr w:rsidR="00374F4A" w14:paraId="561C1792" w14:textId="77777777" w:rsidTr="00D030E7">
        <w:tc>
          <w:tcPr>
            <w:tcW w:w="1555" w:type="dxa"/>
          </w:tcPr>
          <w:p w14:paraId="5C4C99BF" w14:textId="77777777" w:rsidR="00374F4A" w:rsidRDefault="00374F4A" w:rsidP="00D030E7">
            <w:pPr>
              <w:rPr>
                <w:rFonts w:cs="Arial"/>
              </w:rPr>
            </w:pPr>
            <w:r>
              <w:rPr>
                <w:rFonts w:cs="Arial"/>
              </w:rPr>
              <w:t>Calculation method</w:t>
            </w:r>
          </w:p>
        </w:tc>
        <w:tc>
          <w:tcPr>
            <w:tcW w:w="7455" w:type="dxa"/>
          </w:tcPr>
          <w:p w14:paraId="26347E3F" w14:textId="373AB594" w:rsidR="0071767E" w:rsidRDefault="004A086E" w:rsidP="00D030E7">
            <w:pPr>
              <w:rPr>
                <w:rFonts w:cs="Arial"/>
              </w:rPr>
            </w:pPr>
            <w:r w:rsidRPr="004A086E">
              <w:rPr>
                <w:rFonts w:cs="Arial"/>
              </w:rPr>
              <w:t xml:space="preserve">This is the </w:t>
            </w:r>
            <w:r w:rsidR="00A4488E">
              <w:rPr>
                <w:rFonts w:cs="Arial"/>
              </w:rPr>
              <w:t xml:space="preserve">number </w:t>
            </w:r>
            <w:r w:rsidR="00374F4A" w:rsidRPr="00374F4A">
              <w:rPr>
                <w:rFonts w:cs="Arial"/>
              </w:rPr>
              <w:t>of data set metadata</w:t>
            </w:r>
            <w:r>
              <w:rPr>
                <w:rFonts w:cs="Arial"/>
              </w:rPr>
              <w:t>,</w:t>
            </w:r>
            <w:r w:rsidR="00374F4A" w:rsidRPr="00374F4A">
              <w:rPr>
                <w:rFonts w:cs="Arial"/>
              </w:rPr>
              <w:t xml:space="preserve"> published in the </w:t>
            </w:r>
            <w:r w:rsidRPr="00374F4A">
              <w:rPr>
                <w:rFonts w:cs="Arial"/>
              </w:rPr>
              <w:t>geoportal</w:t>
            </w:r>
            <w:r>
              <w:rPr>
                <w:rFonts w:cs="Arial"/>
              </w:rPr>
              <w:t>, that</w:t>
            </w:r>
            <w:r w:rsidR="00374F4A">
              <w:rPr>
                <w:rFonts w:cs="Arial"/>
              </w:rPr>
              <w:t xml:space="preserve"> </w:t>
            </w:r>
            <w:r w:rsidR="00A4488E" w:rsidRPr="00374F4A">
              <w:rPr>
                <w:rFonts w:cs="Arial"/>
              </w:rPr>
              <w:t>are in conform</w:t>
            </w:r>
            <w:r w:rsidR="00AD7AE3">
              <w:rPr>
                <w:rFonts w:cs="Arial"/>
              </w:rPr>
              <w:t>ance</w:t>
            </w:r>
            <w:r w:rsidR="00A4488E" w:rsidRPr="00374F4A">
              <w:rPr>
                <w:rFonts w:cs="Arial"/>
              </w:rPr>
              <w:t xml:space="preserve"> with Regulation (EC) No 1205/2008</w:t>
            </w:r>
            <w:r w:rsidR="00A4488E">
              <w:rPr>
                <w:rFonts w:cs="Arial"/>
              </w:rPr>
              <w:t>.</w:t>
            </w:r>
            <w:r>
              <w:rPr>
                <w:rFonts w:cs="Arial"/>
              </w:rPr>
              <w:t xml:space="preserve"> </w:t>
            </w:r>
            <w:r w:rsidR="00A4488E">
              <w:rPr>
                <w:rFonts w:cs="Arial"/>
              </w:rPr>
              <w:t xml:space="preserve">Metadata that do not satisfy the requirements laid down by </w:t>
            </w:r>
            <w:r w:rsidR="00A4488E" w:rsidRPr="00374F4A">
              <w:rPr>
                <w:rFonts w:cs="Arial"/>
              </w:rPr>
              <w:t>Regulation (EC) No 1205/2008</w:t>
            </w:r>
            <w:r w:rsidR="00A4488E">
              <w:rPr>
                <w:rFonts w:cs="Arial"/>
              </w:rPr>
              <w:t xml:space="preserve"> will be considered </w:t>
            </w:r>
            <w:r>
              <w:rPr>
                <w:rFonts w:cs="Arial"/>
              </w:rPr>
              <w:t>non</w:t>
            </w:r>
            <w:r w:rsidR="00A4488E">
              <w:rPr>
                <w:rFonts w:cs="Arial"/>
              </w:rPr>
              <w:t>-</w:t>
            </w:r>
            <w:r>
              <w:rPr>
                <w:rFonts w:cs="Arial"/>
              </w:rPr>
              <w:t>conformant metadata</w:t>
            </w:r>
            <w:r w:rsidR="00003C42">
              <w:rPr>
                <w:rFonts w:cs="Arial"/>
              </w:rPr>
              <w:t xml:space="preserve"> and</w:t>
            </w:r>
            <w:r>
              <w:rPr>
                <w:rFonts w:cs="Arial"/>
              </w:rPr>
              <w:t xml:space="preserve"> will be highlighted (marked) </w:t>
            </w:r>
            <w:r w:rsidRPr="004A086E">
              <w:rPr>
                <w:rFonts w:cs="Arial"/>
              </w:rPr>
              <w:t>in the geoportal</w:t>
            </w:r>
            <w:r>
              <w:rPr>
                <w:rFonts w:cs="Arial"/>
              </w:rPr>
              <w:t>.</w:t>
            </w:r>
          </w:p>
          <w:p w14:paraId="03BF14CE" w14:textId="77777777" w:rsidR="005004A3" w:rsidRDefault="00AD7AE3" w:rsidP="00D030E7">
            <w:pPr>
              <w:rPr>
                <w:rFonts w:cs="Arial"/>
              </w:rPr>
            </w:pPr>
            <w:r>
              <w:rPr>
                <w:rFonts w:cs="Arial"/>
              </w:rPr>
              <w:t xml:space="preserve">The conformity of the metadata will be assessed with the </w:t>
            </w:r>
            <w:r w:rsidR="0030760E">
              <w:rPr>
                <w:rFonts w:cs="Arial"/>
              </w:rPr>
              <w:t xml:space="preserve">INSPIRE </w:t>
            </w:r>
            <w:r>
              <w:rPr>
                <w:rFonts w:cs="Arial"/>
              </w:rPr>
              <w:t xml:space="preserve">reference validator using the </w:t>
            </w:r>
            <w:r w:rsidR="00326EB5">
              <w:rPr>
                <w:rFonts w:cs="Arial"/>
              </w:rPr>
              <w:t>commonly agreed conformance tests</w:t>
            </w:r>
            <w:r w:rsidR="0030760E">
              <w:rPr>
                <w:rFonts w:cs="Arial"/>
              </w:rPr>
              <w:t xml:space="preserve"> (see Annex 1).</w:t>
            </w:r>
            <w:r w:rsidR="0071767E">
              <w:rPr>
                <w:rFonts w:cs="Arial"/>
              </w:rPr>
              <w:t xml:space="preserve"> </w:t>
            </w:r>
          </w:p>
          <w:p w14:paraId="662051D8" w14:textId="130FC2A5" w:rsidR="004A086E" w:rsidRDefault="004A086E" w:rsidP="00D030E7">
            <w:pPr>
              <w:rPr>
                <w:rFonts w:cs="Arial"/>
              </w:rPr>
            </w:pPr>
            <w:r>
              <w:rPr>
                <w:rFonts w:cs="Arial"/>
              </w:rPr>
              <w:t xml:space="preserve">Member States </w:t>
            </w:r>
            <w:r w:rsidR="00A20A38">
              <w:rPr>
                <w:rFonts w:cs="Arial"/>
              </w:rPr>
              <w:t>are encouraged to</w:t>
            </w:r>
            <w:r>
              <w:rPr>
                <w:rFonts w:cs="Arial"/>
              </w:rPr>
              <w:t xml:space="preserve"> use </w:t>
            </w:r>
            <w:r w:rsidR="00EB6E8E">
              <w:rPr>
                <w:rFonts w:cs="Arial"/>
              </w:rPr>
              <w:t>the</w:t>
            </w:r>
            <w:r w:rsidR="0030760E">
              <w:rPr>
                <w:rFonts w:cs="Arial"/>
              </w:rPr>
              <w:t xml:space="preserve"> INSPIRE </w:t>
            </w:r>
            <w:r w:rsidR="00135B4E">
              <w:rPr>
                <w:rFonts w:cs="Arial"/>
              </w:rPr>
              <w:t>r</w:t>
            </w:r>
            <w:r>
              <w:rPr>
                <w:rFonts w:cs="Arial"/>
              </w:rPr>
              <w:t xml:space="preserve">eference validator for testing </w:t>
            </w:r>
            <w:r w:rsidR="00A20A38">
              <w:rPr>
                <w:rFonts w:cs="Arial"/>
              </w:rPr>
              <w:t xml:space="preserve">the conformity </w:t>
            </w:r>
            <w:r w:rsidR="005004A3">
              <w:rPr>
                <w:rFonts w:cs="Arial"/>
              </w:rPr>
              <w:t xml:space="preserve">of </w:t>
            </w:r>
            <w:r>
              <w:rPr>
                <w:rFonts w:cs="Arial"/>
              </w:rPr>
              <w:t>their metadata records.</w:t>
            </w:r>
          </w:p>
          <w:p w14:paraId="513AC172" w14:textId="18B87C4B" w:rsidR="00374F4A" w:rsidRDefault="0024267D" w:rsidP="00C6730C">
            <w:pPr>
              <w:rPr>
                <w:rFonts w:cs="Arial"/>
              </w:rPr>
            </w:pPr>
            <w:r>
              <w:rPr>
                <w:rFonts w:cs="Arial"/>
              </w:rPr>
              <w:t>At</w:t>
            </w:r>
            <w:r w:rsidR="00374F4A">
              <w:rPr>
                <w:rFonts w:cs="Arial"/>
              </w:rPr>
              <w:t xml:space="preserve"> the EU level, </w:t>
            </w:r>
            <w:r w:rsidR="00135B4E">
              <w:rPr>
                <w:rFonts w:cs="Arial"/>
              </w:rPr>
              <w:t xml:space="preserve">this </w:t>
            </w:r>
            <w:r w:rsidR="00374F4A">
              <w:rPr>
                <w:rFonts w:cs="Arial"/>
              </w:rPr>
              <w:t xml:space="preserve">indicator is calculated as </w:t>
            </w:r>
            <w:r w:rsidR="00135B4E">
              <w:rPr>
                <w:rFonts w:cs="Arial"/>
              </w:rPr>
              <w:t>the</w:t>
            </w:r>
            <w:r w:rsidR="00374F4A">
              <w:rPr>
                <w:rFonts w:cs="Arial"/>
              </w:rPr>
              <w:t xml:space="preserve"> </w:t>
            </w:r>
            <w:r w:rsidR="00C6730C">
              <w:rPr>
                <w:rFonts w:cs="Arial"/>
              </w:rPr>
              <w:t>average</w:t>
            </w:r>
            <w:r w:rsidR="00374F4A">
              <w:rPr>
                <w:rFonts w:cs="Arial"/>
              </w:rPr>
              <w:t xml:space="preserve"> of </w:t>
            </w:r>
            <w:r w:rsidR="00374F4A" w:rsidRPr="00F04EB8">
              <w:rPr>
                <w:rFonts w:cs="Arial"/>
              </w:rPr>
              <w:t>all M</w:t>
            </w:r>
            <w:r w:rsidR="00135B4E">
              <w:rPr>
                <w:rFonts w:cs="Arial"/>
              </w:rPr>
              <w:t xml:space="preserve">ember </w:t>
            </w:r>
            <w:r w:rsidR="00374F4A" w:rsidRPr="00F04EB8">
              <w:rPr>
                <w:rFonts w:cs="Arial"/>
              </w:rPr>
              <w:t>S</w:t>
            </w:r>
            <w:r w:rsidR="00135B4E">
              <w:rPr>
                <w:rFonts w:cs="Arial"/>
              </w:rPr>
              <w:t>tate</w:t>
            </w:r>
            <w:r w:rsidR="00C6730C">
              <w:rPr>
                <w:rFonts w:cs="Arial"/>
              </w:rPr>
              <w:t>s.</w:t>
            </w:r>
          </w:p>
        </w:tc>
      </w:tr>
    </w:tbl>
    <w:p w14:paraId="741FAA9F" w14:textId="41F9D495" w:rsidR="00043A34" w:rsidRDefault="00043A34" w:rsidP="00043A34">
      <w:pPr>
        <w:rPr>
          <w:rFonts w:cs="Arial"/>
        </w:rPr>
      </w:pPr>
    </w:p>
    <w:tbl>
      <w:tblPr>
        <w:tblStyle w:val="TableGrid"/>
        <w:tblW w:w="0" w:type="auto"/>
        <w:tblLayout w:type="fixed"/>
        <w:tblLook w:val="04A0" w:firstRow="1" w:lastRow="0" w:firstColumn="1" w:lastColumn="0" w:noHBand="0" w:noVBand="1"/>
      </w:tblPr>
      <w:tblGrid>
        <w:gridCol w:w="1555"/>
        <w:gridCol w:w="7455"/>
      </w:tblGrid>
      <w:tr w:rsidR="00043A34" w:rsidRPr="00F04EB8" w14:paraId="42CB8D0B" w14:textId="77777777" w:rsidTr="00D030E7">
        <w:tc>
          <w:tcPr>
            <w:tcW w:w="1555" w:type="dxa"/>
          </w:tcPr>
          <w:p w14:paraId="7DE19031" w14:textId="77777777" w:rsidR="00043A34" w:rsidRPr="00F04EB8" w:rsidRDefault="00043A34" w:rsidP="00D030E7">
            <w:pPr>
              <w:rPr>
                <w:rFonts w:cs="Arial"/>
                <w:b/>
              </w:rPr>
            </w:pPr>
            <w:r w:rsidRPr="00F04EB8">
              <w:rPr>
                <w:rFonts w:cs="Arial"/>
                <w:b/>
              </w:rPr>
              <w:t>Indicator:</w:t>
            </w:r>
          </w:p>
        </w:tc>
        <w:tc>
          <w:tcPr>
            <w:tcW w:w="7455" w:type="dxa"/>
          </w:tcPr>
          <w:p w14:paraId="5165A082" w14:textId="55BDE237" w:rsidR="00043A34" w:rsidRPr="00F04EB8" w:rsidRDefault="00043A34" w:rsidP="00D030E7">
            <w:pPr>
              <w:rPr>
                <w:rFonts w:cs="Arial"/>
                <w:b/>
              </w:rPr>
            </w:pPr>
            <w:r>
              <w:rPr>
                <w:rFonts w:cs="Arial"/>
                <w:b/>
              </w:rPr>
              <w:t>MDi1.2</w:t>
            </w:r>
          </w:p>
        </w:tc>
      </w:tr>
      <w:tr w:rsidR="00043A34" w14:paraId="00030DD2" w14:textId="77777777" w:rsidTr="00D030E7">
        <w:tc>
          <w:tcPr>
            <w:tcW w:w="1555" w:type="dxa"/>
          </w:tcPr>
          <w:p w14:paraId="15EEB577" w14:textId="77777777" w:rsidR="00043A34" w:rsidRDefault="00043A34" w:rsidP="00D030E7">
            <w:pPr>
              <w:rPr>
                <w:rFonts w:cs="Arial"/>
              </w:rPr>
            </w:pPr>
            <w:r w:rsidRPr="00C25C7C">
              <w:rPr>
                <w:rFonts w:cs="Arial"/>
              </w:rPr>
              <w:t>Definition:</w:t>
            </w:r>
          </w:p>
        </w:tc>
        <w:tc>
          <w:tcPr>
            <w:tcW w:w="7455" w:type="dxa"/>
          </w:tcPr>
          <w:p w14:paraId="01B4613D" w14:textId="461906F4" w:rsidR="00043A34" w:rsidRDefault="00043A34" w:rsidP="00D030E7">
            <w:pPr>
              <w:rPr>
                <w:rFonts w:cs="Arial"/>
              </w:rPr>
            </w:pPr>
            <w:r w:rsidRPr="00043A34">
              <w:rPr>
                <w:rFonts w:cs="Arial"/>
              </w:rPr>
              <w:t>Percentage of metadata for spatial data services conformant with Commission Regulation (EC) No 1205/20087 as regards metadata</w:t>
            </w:r>
          </w:p>
        </w:tc>
      </w:tr>
      <w:tr w:rsidR="00043A34" w14:paraId="3C06B97B" w14:textId="77777777" w:rsidTr="00D030E7">
        <w:tc>
          <w:tcPr>
            <w:tcW w:w="1555" w:type="dxa"/>
          </w:tcPr>
          <w:p w14:paraId="1035EEA9" w14:textId="77777777" w:rsidR="00043A34" w:rsidRDefault="00043A34" w:rsidP="00D030E7">
            <w:pPr>
              <w:rPr>
                <w:rFonts w:cs="Arial"/>
              </w:rPr>
            </w:pPr>
            <w:r w:rsidRPr="00C25C7C">
              <w:rPr>
                <w:rFonts w:cs="Arial"/>
              </w:rPr>
              <w:t>Description:</w:t>
            </w:r>
          </w:p>
        </w:tc>
        <w:tc>
          <w:tcPr>
            <w:tcW w:w="7455" w:type="dxa"/>
          </w:tcPr>
          <w:p w14:paraId="00118ACE" w14:textId="2092AB63" w:rsidR="00043A34" w:rsidRDefault="00043A34" w:rsidP="00D030E7">
            <w:pPr>
              <w:rPr>
                <w:rFonts w:cs="Arial"/>
              </w:rPr>
            </w:pPr>
            <w:r w:rsidRPr="00043A34">
              <w:rPr>
                <w:rFonts w:cs="Arial"/>
              </w:rPr>
              <w:t>The number of spatial data services for which metadata are in conformity with Regulation (EC) No 1205/2008 multiplied by a hundred and divided by the number of spatial data services for which metadata exist as given by indicator "DSi1.2"</w:t>
            </w:r>
          </w:p>
        </w:tc>
      </w:tr>
      <w:tr w:rsidR="00043A34" w14:paraId="162CB085" w14:textId="77777777" w:rsidTr="00D030E7">
        <w:tc>
          <w:tcPr>
            <w:tcW w:w="1555" w:type="dxa"/>
          </w:tcPr>
          <w:p w14:paraId="690689CF" w14:textId="77777777" w:rsidR="00043A34" w:rsidRDefault="00043A34" w:rsidP="00D030E7">
            <w:pPr>
              <w:rPr>
                <w:rFonts w:cs="Arial"/>
              </w:rPr>
            </w:pPr>
            <w:r>
              <w:rPr>
                <w:rFonts w:cs="Arial"/>
              </w:rPr>
              <w:t>Calculation method</w:t>
            </w:r>
          </w:p>
        </w:tc>
        <w:tc>
          <w:tcPr>
            <w:tcW w:w="7455" w:type="dxa"/>
          </w:tcPr>
          <w:p w14:paraId="5C69F0E6" w14:textId="334DA4D4" w:rsidR="00043A34" w:rsidRDefault="00043A34" w:rsidP="00D030E7">
            <w:pPr>
              <w:rPr>
                <w:rFonts w:cs="Arial"/>
              </w:rPr>
            </w:pPr>
            <w:r w:rsidRPr="00043A34">
              <w:rPr>
                <w:rFonts w:cs="Arial"/>
              </w:rPr>
              <w:t xml:space="preserve">This is the amount of service metadata published in the geoportal </w:t>
            </w:r>
            <w:r>
              <w:rPr>
                <w:rFonts w:cs="Arial"/>
              </w:rPr>
              <w:t>that</w:t>
            </w:r>
            <w:r w:rsidRPr="00043A34">
              <w:rPr>
                <w:rFonts w:cs="Arial"/>
              </w:rPr>
              <w:t xml:space="preserve"> </w:t>
            </w:r>
            <w:r w:rsidR="00A4488E" w:rsidRPr="00374F4A">
              <w:rPr>
                <w:rFonts w:cs="Arial"/>
              </w:rPr>
              <w:t>are in conformity with Regulation (EC) No 1205/2008</w:t>
            </w:r>
            <w:r w:rsidR="00A4488E">
              <w:rPr>
                <w:rFonts w:cs="Arial"/>
              </w:rPr>
              <w:t>.</w:t>
            </w:r>
            <w:r w:rsidRPr="00043A34">
              <w:rPr>
                <w:rFonts w:cs="Arial"/>
              </w:rPr>
              <w:t xml:space="preserve"> </w:t>
            </w:r>
            <w:r>
              <w:rPr>
                <w:rFonts w:cs="Arial"/>
              </w:rPr>
              <w:t>If there is no service metadata</w:t>
            </w:r>
            <w:r w:rsidR="00B60757">
              <w:rPr>
                <w:rFonts w:cs="Arial"/>
              </w:rPr>
              <w:t xml:space="preserve"> record published through the Member State’s registered discovery service</w:t>
            </w:r>
            <w:r>
              <w:rPr>
                <w:rFonts w:cs="Arial"/>
              </w:rPr>
              <w:t>,</w:t>
            </w:r>
            <w:r w:rsidR="00B60757">
              <w:rPr>
                <w:rFonts w:cs="Arial"/>
              </w:rPr>
              <w:t xml:space="preserve"> the </w:t>
            </w:r>
            <w:r w:rsidR="0071767E">
              <w:rPr>
                <w:rFonts w:cs="Arial"/>
              </w:rPr>
              <w:t>“</w:t>
            </w:r>
            <w:r w:rsidR="00B60757">
              <w:rPr>
                <w:rFonts w:cs="Arial"/>
              </w:rPr>
              <w:t>Get Metadata</w:t>
            </w:r>
            <w:r w:rsidR="0071767E">
              <w:rPr>
                <w:rFonts w:cs="Arial"/>
              </w:rPr>
              <w:t>”</w:t>
            </w:r>
            <w:r w:rsidR="00B60757">
              <w:rPr>
                <w:rFonts w:cs="Arial"/>
              </w:rPr>
              <w:t xml:space="preserve"> response of the service (e.g. </w:t>
            </w:r>
            <w:r w:rsidR="006318EE">
              <w:rPr>
                <w:rFonts w:cs="Arial"/>
              </w:rPr>
              <w:t xml:space="preserve">Get Capability </w:t>
            </w:r>
            <w:r w:rsidR="005C225A">
              <w:rPr>
                <w:rFonts w:cs="Arial"/>
              </w:rPr>
              <w:t>response</w:t>
            </w:r>
            <w:r w:rsidR="00B60757">
              <w:rPr>
                <w:rFonts w:cs="Arial"/>
              </w:rPr>
              <w:t xml:space="preserve"> for OGC services)</w:t>
            </w:r>
            <w:r w:rsidR="006318EE">
              <w:rPr>
                <w:rFonts w:cs="Arial"/>
              </w:rPr>
              <w:t xml:space="preserve"> should satisf</w:t>
            </w:r>
            <w:r w:rsidR="00B60757">
              <w:rPr>
                <w:rFonts w:cs="Arial"/>
              </w:rPr>
              <w:t xml:space="preserve">y the </w:t>
            </w:r>
            <w:r w:rsidR="00003C42">
              <w:rPr>
                <w:rFonts w:cs="Arial"/>
              </w:rPr>
              <w:t xml:space="preserve">service </w:t>
            </w:r>
            <w:r w:rsidR="00B60757">
              <w:rPr>
                <w:rFonts w:cs="Arial"/>
              </w:rPr>
              <w:t>metadata requirements.</w:t>
            </w:r>
            <w:r w:rsidR="005C225A">
              <w:rPr>
                <w:rFonts w:cs="Arial"/>
              </w:rPr>
              <w:t xml:space="preserve"> </w:t>
            </w:r>
            <w:r w:rsidR="00B60757">
              <w:rPr>
                <w:rFonts w:cs="Arial"/>
              </w:rPr>
              <w:t>Further technical implementation details for the possible service metadata scenarios are described in technical guidance</w:t>
            </w:r>
            <w:r w:rsidR="0068096B">
              <w:rPr>
                <w:rFonts w:cs="Arial"/>
              </w:rPr>
              <w:t xml:space="preserve"> documents</w:t>
            </w:r>
            <w:r w:rsidR="00B60757">
              <w:rPr>
                <w:rFonts w:cs="Arial"/>
              </w:rPr>
              <w:t>.</w:t>
            </w:r>
            <w:r w:rsidR="00A4488E">
              <w:rPr>
                <w:rFonts w:cs="Arial"/>
              </w:rPr>
              <w:t xml:space="preserve"> Metadata that do not satisfy the requirements laid down by </w:t>
            </w:r>
            <w:r w:rsidR="00A4488E" w:rsidRPr="00374F4A">
              <w:rPr>
                <w:rFonts w:cs="Arial"/>
              </w:rPr>
              <w:t>Regulation (EC) No 1205/2008</w:t>
            </w:r>
            <w:r w:rsidR="00A4488E">
              <w:rPr>
                <w:rFonts w:cs="Arial"/>
              </w:rPr>
              <w:t xml:space="preserve"> will be considered</w:t>
            </w:r>
            <w:r w:rsidR="005C225A" w:rsidRPr="005C225A">
              <w:rPr>
                <w:rFonts w:cs="Arial"/>
              </w:rPr>
              <w:t xml:space="preserve"> non</w:t>
            </w:r>
            <w:r w:rsidR="00A4488E">
              <w:rPr>
                <w:rFonts w:cs="Arial"/>
              </w:rPr>
              <w:t>-</w:t>
            </w:r>
            <w:r w:rsidR="005C225A" w:rsidRPr="005C225A">
              <w:rPr>
                <w:rFonts w:cs="Arial"/>
              </w:rPr>
              <w:t>conformant</w:t>
            </w:r>
            <w:r w:rsidR="0000253B">
              <w:rPr>
                <w:rFonts w:cs="Arial"/>
              </w:rPr>
              <w:t>.</w:t>
            </w:r>
            <w:r w:rsidR="005C225A" w:rsidRPr="005C225A">
              <w:rPr>
                <w:rFonts w:cs="Arial"/>
              </w:rPr>
              <w:t xml:space="preserve"> </w:t>
            </w:r>
          </w:p>
          <w:p w14:paraId="74FC294A" w14:textId="77777777" w:rsidR="00B60757" w:rsidRDefault="00B60757" w:rsidP="00E009E1">
            <w:pPr>
              <w:rPr>
                <w:rFonts w:cs="Arial"/>
              </w:rPr>
            </w:pPr>
            <w:r>
              <w:rPr>
                <w:rFonts w:cs="Arial"/>
              </w:rPr>
              <w:t>The conformity of the metadata will be assessed with the INSPIRE reference validator using the commonly agreed conformance tests (see Annex 1).</w:t>
            </w:r>
          </w:p>
          <w:p w14:paraId="4B9E3844" w14:textId="51ADBD67" w:rsidR="00B60757" w:rsidRDefault="00B60757" w:rsidP="00E009E1">
            <w:pPr>
              <w:rPr>
                <w:rFonts w:cs="Arial"/>
              </w:rPr>
            </w:pPr>
            <w:r>
              <w:rPr>
                <w:rFonts w:cs="Arial"/>
              </w:rPr>
              <w:t>Member States are encouraged to use the INSPIRE reference validator for testing the conformity</w:t>
            </w:r>
            <w:r w:rsidR="005004A3">
              <w:rPr>
                <w:rFonts w:cs="Arial"/>
              </w:rPr>
              <w:t xml:space="preserve"> of</w:t>
            </w:r>
            <w:r>
              <w:rPr>
                <w:rFonts w:cs="Arial"/>
              </w:rPr>
              <w:t xml:space="preserve"> their metadata records.</w:t>
            </w:r>
          </w:p>
          <w:p w14:paraId="35C30893" w14:textId="44B72646" w:rsidR="00043A34" w:rsidRDefault="00171118" w:rsidP="00C6730C">
            <w:pPr>
              <w:rPr>
                <w:rFonts w:cs="Arial"/>
              </w:rPr>
            </w:pPr>
            <w:r w:rsidRPr="00171118">
              <w:rPr>
                <w:rFonts w:cs="Arial"/>
              </w:rPr>
              <w:lastRenderedPageBreak/>
              <w:t xml:space="preserve">At the EU level, this indicator is calculated as the </w:t>
            </w:r>
            <w:r w:rsidR="00C6730C">
              <w:rPr>
                <w:rFonts w:cs="Arial"/>
              </w:rPr>
              <w:t>average</w:t>
            </w:r>
            <w:r w:rsidRPr="00171118">
              <w:rPr>
                <w:rFonts w:cs="Arial"/>
              </w:rPr>
              <w:t xml:space="preserve"> of all Member State</w:t>
            </w:r>
            <w:r w:rsidR="00C6730C">
              <w:rPr>
                <w:rFonts w:cs="Arial"/>
              </w:rPr>
              <w:t>s</w:t>
            </w:r>
            <w:r w:rsidRPr="00171118">
              <w:rPr>
                <w:rFonts w:cs="Arial"/>
              </w:rPr>
              <w:t xml:space="preserve">.  </w:t>
            </w:r>
          </w:p>
        </w:tc>
      </w:tr>
    </w:tbl>
    <w:p w14:paraId="4B7CA2E0" w14:textId="77777777" w:rsidR="00043A34" w:rsidRDefault="00043A34" w:rsidP="00043A34">
      <w:pPr>
        <w:rPr>
          <w:rFonts w:cs="Arial"/>
        </w:rPr>
      </w:pPr>
    </w:p>
    <w:p w14:paraId="3AA8F244" w14:textId="1FDBC8CD" w:rsidR="001B05C3" w:rsidRDefault="001B05C3" w:rsidP="001B05C3">
      <w:pPr>
        <w:pStyle w:val="Heading2"/>
        <w:numPr>
          <w:ilvl w:val="0"/>
          <w:numId w:val="0"/>
        </w:numPr>
        <w:ind w:left="709" w:hanging="709"/>
      </w:pPr>
      <w:bookmarkStart w:id="4" w:name="_Toc10807203"/>
      <w:r>
        <w:t xml:space="preserve">2.3 </w:t>
      </w:r>
      <w:r w:rsidRPr="003B387E">
        <w:t xml:space="preserve">Monitoring </w:t>
      </w:r>
      <w:r>
        <w:t xml:space="preserve">of the conformity </w:t>
      </w:r>
      <w:r w:rsidRPr="001B05C3">
        <w:t>of spatial data sets</w:t>
      </w:r>
      <w:bookmarkEnd w:id="4"/>
    </w:p>
    <w:p w14:paraId="097082C8" w14:textId="15E408DB" w:rsidR="00C25C7C" w:rsidRDefault="00C25C7C" w:rsidP="00A01C5F">
      <w:pPr>
        <w:rPr>
          <w:rFonts w:cs="Arial"/>
        </w:rPr>
      </w:pPr>
    </w:p>
    <w:tbl>
      <w:tblPr>
        <w:tblStyle w:val="TableGrid"/>
        <w:tblW w:w="0" w:type="auto"/>
        <w:tblLayout w:type="fixed"/>
        <w:tblLook w:val="04A0" w:firstRow="1" w:lastRow="0" w:firstColumn="1" w:lastColumn="0" w:noHBand="0" w:noVBand="1"/>
      </w:tblPr>
      <w:tblGrid>
        <w:gridCol w:w="1555"/>
        <w:gridCol w:w="7455"/>
      </w:tblGrid>
      <w:tr w:rsidR="001B05C3" w:rsidRPr="00F04EB8" w14:paraId="5A715D67" w14:textId="77777777" w:rsidTr="00D030E7">
        <w:tc>
          <w:tcPr>
            <w:tcW w:w="1555" w:type="dxa"/>
          </w:tcPr>
          <w:p w14:paraId="309D9F10" w14:textId="77777777" w:rsidR="001B05C3" w:rsidRPr="00F04EB8" w:rsidRDefault="001B05C3" w:rsidP="00D030E7">
            <w:pPr>
              <w:rPr>
                <w:rFonts w:cs="Arial"/>
                <w:b/>
              </w:rPr>
            </w:pPr>
            <w:r w:rsidRPr="00F04EB8">
              <w:rPr>
                <w:rFonts w:cs="Arial"/>
                <w:b/>
              </w:rPr>
              <w:t>Indicator:</w:t>
            </w:r>
          </w:p>
        </w:tc>
        <w:tc>
          <w:tcPr>
            <w:tcW w:w="7455" w:type="dxa"/>
          </w:tcPr>
          <w:p w14:paraId="29EBE9B4" w14:textId="7B186D0B" w:rsidR="001B05C3" w:rsidRPr="00F04EB8" w:rsidRDefault="001B05C3" w:rsidP="00D030E7">
            <w:pPr>
              <w:rPr>
                <w:rFonts w:cs="Arial"/>
                <w:b/>
              </w:rPr>
            </w:pPr>
            <w:r w:rsidRPr="001B05C3">
              <w:rPr>
                <w:rFonts w:cs="Arial"/>
                <w:b/>
              </w:rPr>
              <w:t>DSi2</w:t>
            </w:r>
          </w:p>
        </w:tc>
      </w:tr>
      <w:tr w:rsidR="001B05C3" w14:paraId="003B842B" w14:textId="77777777" w:rsidTr="00D030E7">
        <w:tc>
          <w:tcPr>
            <w:tcW w:w="1555" w:type="dxa"/>
          </w:tcPr>
          <w:p w14:paraId="4A192F67" w14:textId="77777777" w:rsidR="001B05C3" w:rsidRDefault="001B05C3" w:rsidP="00D030E7">
            <w:pPr>
              <w:rPr>
                <w:rFonts w:cs="Arial"/>
              </w:rPr>
            </w:pPr>
            <w:r w:rsidRPr="00C25C7C">
              <w:rPr>
                <w:rFonts w:cs="Arial"/>
              </w:rPr>
              <w:t>Definition:</w:t>
            </w:r>
          </w:p>
        </w:tc>
        <w:tc>
          <w:tcPr>
            <w:tcW w:w="7455" w:type="dxa"/>
          </w:tcPr>
          <w:p w14:paraId="433C6D57" w14:textId="34904BA6" w:rsidR="001B05C3" w:rsidRDefault="001B05C3" w:rsidP="00D030E7">
            <w:pPr>
              <w:rPr>
                <w:rFonts w:cs="Arial"/>
              </w:rPr>
            </w:pPr>
            <w:r>
              <w:rPr>
                <w:rFonts w:cs="Arial"/>
              </w:rPr>
              <w:t xml:space="preserve">Percentage of </w:t>
            </w:r>
            <w:r w:rsidRPr="001B05C3">
              <w:rPr>
                <w:rFonts w:cs="Arial"/>
              </w:rPr>
              <w:t>spatial data sets that are in conformity with Commissio</w:t>
            </w:r>
            <w:r w:rsidR="00F028B8">
              <w:rPr>
                <w:rFonts w:cs="Arial"/>
              </w:rPr>
              <w:t xml:space="preserve">n Regulation (EU) No 1089/2010 </w:t>
            </w:r>
            <w:r w:rsidRPr="001B05C3">
              <w:rPr>
                <w:rFonts w:cs="Arial"/>
              </w:rPr>
              <w:t>as regards interoperability of spatial data sets</w:t>
            </w:r>
          </w:p>
        </w:tc>
      </w:tr>
      <w:tr w:rsidR="001B05C3" w14:paraId="0E3A0D16" w14:textId="77777777" w:rsidTr="00D030E7">
        <w:tc>
          <w:tcPr>
            <w:tcW w:w="1555" w:type="dxa"/>
          </w:tcPr>
          <w:p w14:paraId="064A05C5" w14:textId="77777777" w:rsidR="001B05C3" w:rsidRDefault="001B05C3" w:rsidP="00D030E7">
            <w:pPr>
              <w:rPr>
                <w:rFonts w:cs="Arial"/>
              </w:rPr>
            </w:pPr>
            <w:r w:rsidRPr="00C25C7C">
              <w:rPr>
                <w:rFonts w:cs="Arial"/>
              </w:rPr>
              <w:t>Description:</w:t>
            </w:r>
          </w:p>
        </w:tc>
        <w:tc>
          <w:tcPr>
            <w:tcW w:w="7455" w:type="dxa"/>
          </w:tcPr>
          <w:p w14:paraId="60CC071F" w14:textId="51C3B390" w:rsidR="001B05C3" w:rsidRDefault="001B05C3" w:rsidP="00D030E7">
            <w:pPr>
              <w:rPr>
                <w:rFonts w:cs="Arial"/>
              </w:rPr>
            </w:pPr>
            <w:r w:rsidRPr="001B05C3">
              <w:rPr>
                <w:rFonts w:cs="Arial"/>
              </w:rPr>
              <w:t>The number of spatial data sets which are in conformity with R</w:t>
            </w:r>
            <w:r>
              <w:rPr>
                <w:rFonts w:cs="Arial"/>
              </w:rPr>
              <w:t xml:space="preserve">egulation (EU) No 1089/2010 </w:t>
            </w:r>
            <w:r w:rsidRPr="001B05C3">
              <w:rPr>
                <w:rFonts w:cs="Arial"/>
              </w:rPr>
              <w:t>multiplied by a hundred and divided by the number of spatial data s</w:t>
            </w:r>
            <w:r>
              <w:rPr>
                <w:rFonts w:cs="Arial"/>
              </w:rPr>
              <w:t>ets as given by indicator "DSi1.</w:t>
            </w:r>
            <w:r w:rsidRPr="001B05C3">
              <w:rPr>
                <w:rFonts w:cs="Arial"/>
              </w:rPr>
              <w:t>1"</w:t>
            </w:r>
          </w:p>
        </w:tc>
      </w:tr>
      <w:tr w:rsidR="001B05C3" w14:paraId="457C0D29" w14:textId="77777777" w:rsidTr="00D030E7">
        <w:tc>
          <w:tcPr>
            <w:tcW w:w="1555" w:type="dxa"/>
          </w:tcPr>
          <w:p w14:paraId="6414CA00" w14:textId="77777777" w:rsidR="001B05C3" w:rsidRDefault="001B05C3" w:rsidP="00D030E7">
            <w:pPr>
              <w:rPr>
                <w:rFonts w:cs="Arial"/>
              </w:rPr>
            </w:pPr>
            <w:r>
              <w:rPr>
                <w:rFonts w:cs="Arial"/>
              </w:rPr>
              <w:t>Calculation method</w:t>
            </w:r>
          </w:p>
        </w:tc>
        <w:tc>
          <w:tcPr>
            <w:tcW w:w="7455" w:type="dxa"/>
          </w:tcPr>
          <w:p w14:paraId="310A1968" w14:textId="5036AFC5" w:rsidR="001B05C3" w:rsidRDefault="001B05C3" w:rsidP="00D030E7">
            <w:pPr>
              <w:rPr>
                <w:rFonts w:cs="Arial"/>
              </w:rPr>
            </w:pPr>
            <w:r>
              <w:rPr>
                <w:rFonts w:cs="Arial"/>
              </w:rPr>
              <w:t xml:space="preserve">This is the </w:t>
            </w:r>
            <w:r w:rsidRPr="001B05C3">
              <w:rPr>
                <w:rFonts w:cs="Arial"/>
              </w:rPr>
              <w:t xml:space="preserve">amount of all metadata </w:t>
            </w:r>
            <w:r>
              <w:rPr>
                <w:rFonts w:cs="Arial"/>
              </w:rPr>
              <w:t xml:space="preserve">dataset </w:t>
            </w:r>
            <w:r w:rsidRPr="001B05C3">
              <w:rPr>
                <w:rFonts w:cs="Arial"/>
              </w:rPr>
              <w:t>records published by MS</w:t>
            </w:r>
            <w:r>
              <w:rPr>
                <w:rFonts w:cs="Arial"/>
              </w:rPr>
              <w:t xml:space="preserve"> with </w:t>
            </w:r>
            <w:r w:rsidRPr="001B05C3">
              <w:rPr>
                <w:rFonts w:cs="Arial"/>
              </w:rPr>
              <w:t xml:space="preserve">conformity statement </w:t>
            </w:r>
            <w:r>
              <w:rPr>
                <w:rFonts w:cs="Arial"/>
              </w:rPr>
              <w:t xml:space="preserve">expressing the conformity with </w:t>
            </w:r>
            <w:r w:rsidRPr="001B05C3">
              <w:rPr>
                <w:rFonts w:cs="Arial"/>
              </w:rPr>
              <w:t>Regulation (EU) No 1089/2010 in the "Conformity" metadata element</w:t>
            </w:r>
            <w:r>
              <w:rPr>
                <w:rFonts w:cs="Arial"/>
              </w:rPr>
              <w:t xml:space="preserve">. </w:t>
            </w:r>
            <w:r w:rsidRPr="001B05C3">
              <w:rPr>
                <w:rFonts w:cs="Arial"/>
              </w:rPr>
              <w:t>The Commission will provide a code list with possible conformity statements in the INSPIRE Register.</w:t>
            </w:r>
          </w:p>
          <w:p w14:paraId="761930C6" w14:textId="11D6D74A" w:rsidR="005004A3" w:rsidRDefault="005004A3" w:rsidP="00D030E7">
            <w:pPr>
              <w:rPr>
                <w:rFonts w:cs="Arial"/>
              </w:rPr>
            </w:pPr>
            <w:r>
              <w:rPr>
                <w:rFonts w:cs="Arial"/>
              </w:rPr>
              <w:t xml:space="preserve">Member States are encouraged to use the INSPIRE reference validator for testing the conformity of their </w:t>
            </w:r>
            <w:r w:rsidRPr="001B05C3">
              <w:rPr>
                <w:rFonts w:cs="Arial"/>
              </w:rPr>
              <w:t>spatial data sets.</w:t>
            </w:r>
          </w:p>
          <w:p w14:paraId="295BE565" w14:textId="2DCA1197" w:rsidR="001B05C3" w:rsidRDefault="0024267D" w:rsidP="00C6730C">
            <w:pPr>
              <w:rPr>
                <w:rFonts w:cs="Arial"/>
              </w:rPr>
            </w:pPr>
            <w:r>
              <w:rPr>
                <w:rFonts w:cs="Arial"/>
              </w:rPr>
              <w:t>At</w:t>
            </w:r>
            <w:r w:rsidR="001B05C3">
              <w:rPr>
                <w:rFonts w:cs="Arial"/>
              </w:rPr>
              <w:t xml:space="preserve"> the EU level, </w:t>
            </w:r>
            <w:r>
              <w:rPr>
                <w:rFonts w:cs="Arial"/>
              </w:rPr>
              <w:t xml:space="preserve">this </w:t>
            </w:r>
            <w:r w:rsidR="001B05C3">
              <w:rPr>
                <w:rFonts w:cs="Arial"/>
              </w:rPr>
              <w:t xml:space="preserve">indicator is calculated as </w:t>
            </w:r>
            <w:r>
              <w:rPr>
                <w:rFonts w:cs="Arial"/>
              </w:rPr>
              <w:t>the</w:t>
            </w:r>
            <w:r w:rsidR="001B05C3">
              <w:rPr>
                <w:rFonts w:cs="Arial"/>
              </w:rPr>
              <w:t xml:space="preserve"> </w:t>
            </w:r>
            <w:r w:rsidR="00C6730C">
              <w:rPr>
                <w:rFonts w:cs="Arial"/>
              </w:rPr>
              <w:t>average</w:t>
            </w:r>
            <w:r w:rsidR="001B05C3">
              <w:rPr>
                <w:rFonts w:cs="Arial"/>
              </w:rPr>
              <w:t xml:space="preserve"> of </w:t>
            </w:r>
            <w:r w:rsidR="001B05C3" w:rsidRPr="00F04EB8">
              <w:rPr>
                <w:rFonts w:cs="Arial"/>
              </w:rPr>
              <w:t>all M</w:t>
            </w:r>
            <w:r>
              <w:rPr>
                <w:rFonts w:cs="Arial"/>
              </w:rPr>
              <w:t>ember State</w:t>
            </w:r>
            <w:r w:rsidR="00C6730C">
              <w:rPr>
                <w:rFonts w:cs="Arial"/>
              </w:rPr>
              <w:t>s</w:t>
            </w:r>
            <w:r w:rsidR="001B05C3">
              <w:rPr>
                <w:rFonts w:cs="Arial"/>
              </w:rPr>
              <w:t>.</w:t>
            </w:r>
          </w:p>
        </w:tc>
      </w:tr>
    </w:tbl>
    <w:p w14:paraId="38D313AE" w14:textId="77777777" w:rsidR="00D030E7" w:rsidRDefault="00D030E7" w:rsidP="00D030E7">
      <w:pPr>
        <w:rPr>
          <w:rFonts w:cs="Arial"/>
        </w:rPr>
      </w:pPr>
    </w:p>
    <w:tbl>
      <w:tblPr>
        <w:tblStyle w:val="TableGrid"/>
        <w:tblW w:w="0" w:type="auto"/>
        <w:tblLayout w:type="fixed"/>
        <w:tblLook w:val="04A0" w:firstRow="1" w:lastRow="0" w:firstColumn="1" w:lastColumn="0" w:noHBand="0" w:noVBand="1"/>
      </w:tblPr>
      <w:tblGrid>
        <w:gridCol w:w="1555"/>
        <w:gridCol w:w="7455"/>
      </w:tblGrid>
      <w:tr w:rsidR="00D030E7" w:rsidRPr="00F04EB8" w14:paraId="5B649BF0" w14:textId="77777777" w:rsidTr="00D030E7">
        <w:tc>
          <w:tcPr>
            <w:tcW w:w="1555" w:type="dxa"/>
          </w:tcPr>
          <w:p w14:paraId="14A6D2C7" w14:textId="77777777" w:rsidR="00D030E7" w:rsidRPr="00F04EB8" w:rsidRDefault="00D030E7" w:rsidP="00D030E7">
            <w:pPr>
              <w:rPr>
                <w:rFonts w:cs="Arial"/>
                <w:b/>
              </w:rPr>
            </w:pPr>
            <w:r w:rsidRPr="00F04EB8">
              <w:rPr>
                <w:rFonts w:cs="Arial"/>
                <w:b/>
              </w:rPr>
              <w:t>Indicator:</w:t>
            </w:r>
          </w:p>
        </w:tc>
        <w:tc>
          <w:tcPr>
            <w:tcW w:w="7455" w:type="dxa"/>
          </w:tcPr>
          <w:p w14:paraId="5EF0EA97" w14:textId="5AA8CEDE" w:rsidR="00D030E7" w:rsidRPr="00F04EB8" w:rsidRDefault="00D030E7" w:rsidP="00D030E7">
            <w:pPr>
              <w:rPr>
                <w:rFonts w:cs="Arial"/>
                <w:b/>
              </w:rPr>
            </w:pPr>
            <w:r w:rsidRPr="001B05C3">
              <w:rPr>
                <w:rFonts w:cs="Arial"/>
                <w:b/>
              </w:rPr>
              <w:t>DSi2</w:t>
            </w:r>
            <w:r>
              <w:rPr>
                <w:rFonts w:cs="Arial"/>
                <w:b/>
              </w:rPr>
              <w:t>.1</w:t>
            </w:r>
          </w:p>
        </w:tc>
      </w:tr>
      <w:tr w:rsidR="00D030E7" w14:paraId="1E935FA2" w14:textId="77777777" w:rsidTr="00D030E7">
        <w:tc>
          <w:tcPr>
            <w:tcW w:w="1555" w:type="dxa"/>
          </w:tcPr>
          <w:p w14:paraId="3DBF3468" w14:textId="77777777" w:rsidR="00D030E7" w:rsidRDefault="00D030E7" w:rsidP="00D030E7">
            <w:pPr>
              <w:rPr>
                <w:rFonts w:cs="Arial"/>
              </w:rPr>
            </w:pPr>
            <w:r w:rsidRPr="00C25C7C">
              <w:rPr>
                <w:rFonts w:cs="Arial"/>
              </w:rPr>
              <w:t>Definition:</w:t>
            </w:r>
          </w:p>
        </w:tc>
        <w:tc>
          <w:tcPr>
            <w:tcW w:w="7455" w:type="dxa"/>
          </w:tcPr>
          <w:p w14:paraId="6B4A5B09" w14:textId="538363C3" w:rsidR="00D030E7" w:rsidRDefault="00F028B8" w:rsidP="00D030E7">
            <w:pPr>
              <w:rPr>
                <w:rFonts w:cs="Arial"/>
              </w:rPr>
            </w:pPr>
            <w:r w:rsidRPr="00F028B8">
              <w:rPr>
                <w:rFonts w:cs="Arial"/>
              </w:rPr>
              <w:t>Percentage of  spatial data sets, corresponding to the themes listed in Annex I, that are in conformity with Commissio</w:t>
            </w:r>
            <w:r>
              <w:rPr>
                <w:rFonts w:cs="Arial"/>
              </w:rPr>
              <w:t xml:space="preserve">n Regulation (EU) No 1089/2010 </w:t>
            </w:r>
            <w:r w:rsidRPr="00F028B8">
              <w:rPr>
                <w:rFonts w:cs="Arial"/>
              </w:rPr>
              <w:t>as regards interoperability of spatial data sets</w:t>
            </w:r>
          </w:p>
        </w:tc>
      </w:tr>
      <w:tr w:rsidR="00D030E7" w14:paraId="49813FED" w14:textId="77777777" w:rsidTr="00D030E7">
        <w:tc>
          <w:tcPr>
            <w:tcW w:w="1555" w:type="dxa"/>
          </w:tcPr>
          <w:p w14:paraId="16C88AF8" w14:textId="77777777" w:rsidR="00D030E7" w:rsidRDefault="00D030E7" w:rsidP="00D030E7">
            <w:pPr>
              <w:rPr>
                <w:rFonts w:cs="Arial"/>
              </w:rPr>
            </w:pPr>
            <w:r w:rsidRPr="00C25C7C">
              <w:rPr>
                <w:rFonts w:cs="Arial"/>
              </w:rPr>
              <w:t>Description:</w:t>
            </w:r>
          </w:p>
        </w:tc>
        <w:tc>
          <w:tcPr>
            <w:tcW w:w="7455" w:type="dxa"/>
          </w:tcPr>
          <w:p w14:paraId="2687F9A7" w14:textId="15AEEB5A" w:rsidR="00D030E7" w:rsidRDefault="00F028B8" w:rsidP="00D030E7">
            <w:pPr>
              <w:rPr>
                <w:rFonts w:cs="Arial"/>
              </w:rPr>
            </w:pPr>
            <w:r>
              <w:rPr>
                <w:rFonts w:cs="Arial"/>
              </w:rPr>
              <w:t>T</w:t>
            </w:r>
            <w:r w:rsidRPr="00F028B8">
              <w:rPr>
                <w:rFonts w:cs="Arial"/>
              </w:rPr>
              <w:t>he number of spatial data sets corresponding to the themes listed in Annex I to Directive 2007/2/EC which are in conformity wi</w:t>
            </w:r>
            <w:r>
              <w:rPr>
                <w:rFonts w:cs="Arial"/>
              </w:rPr>
              <w:t>th Regulation (EU) No 1089/2010</w:t>
            </w:r>
            <w:r w:rsidRPr="00F028B8">
              <w:rPr>
                <w:rFonts w:cs="Arial"/>
              </w:rPr>
              <w:t xml:space="preserve"> multiplied by a hundred and divided by the number of spatial data sets corresponding to the themes listed in that Annex</w:t>
            </w:r>
            <w:r>
              <w:rPr>
                <w:rFonts w:cs="Arial"/>
              </w:rPr>
              <w:t>.</w:t>
            </w:r>
          </w:p>
        </w:tc>
      </w:tr>
      <w:tr w:rsidR="00D030E7" w14:paraId="007ABB32" w14:textId="77777777" w:rsidTr="00D030E7">
        <w:tc>
          <w:tcPr>
            <w:tcW w:w="1555" w:type="dxa"/>
          </w:tcPr>
          <w:p w14:paraId="7E7E5324" w14:textId="77777777" w:rsidR="00D030E7" w:rsidRDefault="00D030E7" w:rsidP="00D030E7">
            <w:pPr>
              <w:rPr>
                <w:rFonts w:cs="Arial"/>
              </w:rPr>
            </w:pPr>
            <w:r>
              <w:rPr>
                <w:rFonts w:cs="Arial"/>
              </w:rPr>
              <w:t>Calculation method</w:t>
            </w:r>
          </w:p>
        </w:tc>
        <w:tc>
          <w:tcPr>
            <w:tcW w:w="7455" w:type="dxa"/>
          </w:tcPr>
          <w:p w14:paraId="4F48896F" w14:textId="02466575" w:rsidR="00D030E7" w:rsidRDefault="00D030E7" w:rsidP="00D030E7">
            <w:pPr>
              <w:rPr>
                <w:rFonts w:cs="Arial"/>
              </w:rPr>
            </w:pPr>
            <w:r>
              <w:rPr>
                <w:rFonts w:cs="Arial"/>
              </w:rPr>
              <w:t xml:space="preserve">This is the </w:t>
            </w:r>
            <w:r w:rsidRPr="001B05C3">
              <w:rPr>
                <w:rFonts w:cs="Arial"/>
              </w:rPr>
              <w:t xml:space="preserve">amount of metadata </w:t>
            </w:r>
            <w:r>
              <w:rPr>
                <w:rFonts w:cs="Arial"/>
              </w:rPr>
              <w:t xml:space="preserve">dataset </w:t>
            </w:r>
            <w:r w:rsidRPr="001B05C3">
              <w:rPr>
                <w:rFonts w:cs="Arial"/>
              </w:rPr>
              <w:t>records</w:t>
            </w:r>
            <w:r w:rsidR="00F2091E">
              <w:rPr>
                <w:rFonts w:cs="Arial"/>
              </w:rPr>
              <w:t>,</w:t>
            </w:r>
            <w:r w:rsidRPr="001B05C3">
              <w:rPr>
                <w:rFonts w:cs="Arial"/>
              </w:rPr>
              <w:t xml:space="preserve"> published by M</w:t>
            </w:r>
            <w:r w:rsidR="0024267D">
              <w:rPr>
                <w:rFonts w:cs="Arial"/>
              </w:rPr>
              <w:t xml:space="preserve">ember </w:t>
            </w:r>
            <w:r w:rsidR="0068096B">
              <w:rPr>
                <w:rFonts w:cs="Arial"/>
              </w:rPr>
              <w:t>States, which</w:t>
            </w:r>
            <w:r w:rsidR="00F028B8">
              <w:rPr>
                <w:rFonts w:cs="Arial"/>
              </w:rPr>
              <w:t xml:space="preserve"> </w:t>
            </w:r>
            <w:r w:rsidR="00F028B8" w:rsidRPr="00F028B8">
              <w:rPr>
                <w:rFonts w:cs="Arial"/>
              </w:rPr>
              <w:t>contains a keyword in the metadata element "Keyword" indicating that the dataset belongs to a theme from Annex I</w:t>
            </w:r>
            <w:r w:rsidR="00F028B8">
              <w:rPr>
                <w:rFonts w:cs="Arial"/>
              </w:rPr>
              <w:t>,</w:t>
            </w:r>
            <w:r>
              <w:rPr>
                <w:rFonts w:cs="Arial"/>
              </w:rPr>
              <w:t xml:space="preserve"> with </w:t>
            </w:r>
            <w:r w:rsidRPr="001B05C3">
              <w:rPr>
                <w:rFonts w:cs="Arial"/>
              </w:rPr>
              <w:t xml:space="preserve">conformity statement </w:t>
            </w:r>
            <w:r>
              <w:rPr>
                <w:rFonts w:cs="Arial"/>
              </w:rPr>
              <w:t xml:space="preserve">expressing the conformity with </w:t>
            </w:r>
            <w:r w:rsidRPr="001B05C3">
              <w:rPr>
                <w:rFonts w:cs="Arial"/>
              </w:rPr>
              <w:t>Regulation (EU) No 1089/2010 in the "Conformity" metadata element</w:t>
            </w:r>
            <w:r>
              <w:rPr>
                <w:rFonts w:cs="Arial"/>
              </w:rPr>
              <w:t xml:space="preserve">. </w:t>
            </w:r>
            <w:r w:rsidRPr="001B05C3">
              <w:rPr>
                <w:rFonts w:cs="Arial"/>
              </w:rPr>
              <w:t>The Commission will provide a code list with possible conformity statements in the INSPIRE Register.</w:t>
            </w:r>
          </w:p>
          <w:p w14:paraId="2CCD3CD2" w14:textId="55C3AA6C" w:rsidR="00D030E7" w:rsidRDefault="005004A3" w:rsidP="00D030E7">
            <w:pPr>
              <w:rPr>
                <w:rFonts w:cs="Arial"/>
              </w:rPr>
            </w:pPr>
            <w:r>
              <w:rPr>
                <w:rFonts w:cs="Arial"/>
              </w:rPr>
              <w:lastRenderedPageBreak/>
              <w:t xml:space="preserve">Member States are encouraged to use the INSPIRE reference validator for testing the conformity of their </w:t>
            </w:r>
            <w:r w:rsidRPr="001B05C3">
              <w:rPr>
                <w:rFonts w:cs="Arial"/>
              </w:rPr>
              <w:t>spatial data sets.</w:t>
            </w:r>
          </w:p>
          <w:p w14:paraId="58A3016E" w14:textId="3008D879" w:rsidR="00D030E7" w:rsidRDefault="0024267D" w:rsidP="00C6730C">
            <w:pPr>
              <w:rPr>
                <w:rFonts w:cs="Arial"/>
              </w:rPr>
            </w:pPr>
            <w:r>
              <w:rPr>
                <w:rFonts w:cs="Arial"/>
              </w:rPr>
              <w:t>At</w:t>
            </w:r>
            <w:r w:rsidR="00D030E7">
              <w:rPr>
                <w:rFonts w:cs="Arial"/>
              </w:rPr>
              <w:t xml:space="preserve"> the EU level, </w:t>
            </w:r>
            <w:r>
              <w:rPr>
                <w:rFonts w:cs="Arial"/>
              </w:rPr>
              <w:t xml:space="preserve">this </w:t>
            </w:r>
            <w:r w:rsidR="00D030E7">
              <w:rPr>
                <w:rFonts w:cs="Arial"/>
              </w:rPr>
              <w:t xml:space="preserve">indicator is calculated as </w:t>
            </w:r>
            <w:r>
              <w:rPr>
                <w:rFonts w:cs="Arial"/>
              </w:rPr>
              <w:t>the</w:t>
            </w:r>
            <w:r w:rsidR="00D030E7">
              <w:rPr>
                <w:rFonts w:cs="Arial"/>
              </w:rPr>
              <w:t xml:space="preserve"> </w:t>
            </w:r>
            <w:r w:rsidR="00C6730C">
              <w:rPr>
                <w:rFonts w:cs="Arial"/>
              </w:rPr>
              <w:t>average</w:t>
            </w:r>
            <w:r w:rsidR="00D030E7">
              <w:rPr>
                <w:rFonts w:cs="Arial"/>
              </w:rPr>
              <w:t xml:space="preserve"> of </w:t>
            </w:r>
            <w:r w:rsidR="00D030E7" w:rsidRPr="00F04EB8">
              <w:rPr>
                <w:rFonts w:cs="Arial"/>
              </w:rPr>
              <w:t>all M</w:t>
            </w:r>
            <w:r>
              <w:rPr>
                <w:rFonts w:cs="Arial"/>
              </w:rPr>
              <w:t>ember State</w:t>
            </w:r>
            <w:r w:rsidR="00C6730C">
              <w:rPr>
                <w:rFonts w:cs="Arial"/>
              </w:rPr>
              <w:t>s</w:t>
            </w:r>
            <w:r w:rsidR="00D030E7">
              <w:rPr>
                <w:rFonts w:cs="Arial"/>
              </w:rPr>
              <w:t>.</w:t>
            </w:r>
          </w:p>
        </w:tc>
      </w:tr>
    </w:tbl>
    <w:p w14:paraId="7F6C25A8" w14:textId="77777777" w:rsidR="00D030E7" w:rsidRDefault="00D030E7" w:rsidP="00D030E7">
      <w:pPr>
        <w:rPr>
          <w:rFonts w:cs="Arial"/>
        </w:rPr>
      </w:pPr>
    </w:p>
    <w:tbl>
      <w:tblPr>
        <w:tblStyle w:val="TableGrid"/>
        <w:tblW w:w="0" w:type="auto"/>
        <w:tblLayout w:type="fixed"/>
        <w:tblLook w:val="04A0" w:firstRow="1" w:lastRow="0" w:firstColumn="1" w:lastColumn="0" w:noHBand="0" w:noVBand="1"/>
      </w:tblPr>
      <w:tblGrid>
        <w:gridCol w:w="1555"/>
        <w:gridCol w:w="7455"/>
      </w:tblGrid>
      <w:tr w:rsidR="00F028B8" w:rsidRPr="00F04EB8" w14:paraId="659AFA89" w14:textId="77777777" w:rsidTr="000062A0">
        <w:tc>
          <w:tcPr>
            <w:tcW w:w="1555" w:type="dxa"/>
          </w:tcPr>
          <w:p w14:paraId="16FC96E5" w14:textId="77777777" w:rsidR="00F028B8" w:rsidRPr="00F04EB8" w:rsidRDefault="00F028B8" w:rsidP="000062A0">
            <w:pPr>
              <w:rPr>
                <w:rFonts w:cs="Arial"/>
                <w:b/>
              </w:rPr>
            </w:pPr>
            <w:r w:rsidRPr="00F04EB8">
              <w:rPr>
                <w:rFonts w:cs="Arial"/>
                <w:b/>
              </w:rPr>
              <w:t>Indicator:</w:t>
            </w:r>
          </w:p>
        </w:tc>
        <w:tc>
          <w:tcPr>
            <w:tcW w:w="7455" w:type="dxa"/>
          </w:tcPr>
          <w:p w14:paraId="73357A1F" w14:textId="360C39D3" w:rsidR="00F028B8" w:rsidRPr="00F04EB8" w:rsidRDefault="00F028B8" w:rsidP="000062A0">
            <w:pPr>
              <w:rPr>
                <w:rFonts w:cs="Arial"/>
                <w:b/>
              </w:rPr>
            </w:pPr>
            <w:r w:rsidRPr="001B05C3">
              <w:rPr>
                <w:rFonts w:cs="Arial"/>
                <w:b/>
              </w:rPr>
              <w:t>DSi2</w:t>
            </w:r>
            <w:r>
              <w:rPr>
                <w:rFonts w:cs="Arial"/>
                <w:b/>
              </w:rPr>
              <w:t>.2</w:t>
            </w:r>
          </w:p>
        </w:tc>
      </w:tr>
      <w:tr w:rsidR="00F028B8" w14:paraId="75D6E13C" w14:textId="77777777" w:rsidTr="000062A0">
        <w:tc>
          <w:tcPr>
            <w:tcW w:w="1555" w:type="dxa"/>
          </w:tcPr>
          <w:p w14:paraId="058A3C9B" w14:textId="77777777" w:rsidR="00F028B8" w:rsidRDefault="00F028B8" w:rsidP="000062A0">
            <w:pPr>
              <w:rPr>
                <w:rFonts w:cs="Arial"/>
              </w:rPr>
            </w:pPr>
            <w:r w:rsidRPr="00C25C7C">
              <w:rPr>
                <w:rFonts w:cs="Arial"/>
              </w:rPr>
              <w:t>Definition:</w:t>
            </w:r>
          </w:p>
        </w:tc>
        <w:tc>
          <w:tcPr>
            <w:tcW w:w="7455" w:type="dxa"/>
          </w:tcPr>
          <w:p w14:paraId="2343A9D4" w14:textId="1DD1C38E" w:rsidR="00F028B8" w:rsidRDefault="00F028B8" w:rsidP="000062A0">
            <w:pPr>
              <w:rPr>
                <w:rFonts w:cs="Arial"/>
              </w:rPr>
            </w:pPr>
            <w:r w:rsidRPr="00F028B8">
              <w:rPr>
                <w:rFonts w:cs="Arial"/>
              </w:rPr>
              <w:t>Percentage of  spatial data sets, corresponding to the themes listed in Annex I</w:t>
            </w:r>
            <w:r>
              <w:rPr>
                <w:rFonts w:cs="Arial"/>
              </w:rPr>
              <w:t>I</w:t>
            </w:r>
            <w:r w:rsidRPr="00F028B8">
              <w:rPr>
                <w:rFonts w:cs="Arial"/>
              </w:rPr>
              <w:t>, that are in conformity with Commissio</w:t>
            </w:r>
            <w:r>
              <w:rPr>
                <w:rFonts w:cs="Arial"/>
              </w:rPr>
              <w:t xml:space="preserve">n Regulation (EU) No 1089/2010 </w:t>
            </w:r>
            <w:r w:rsidRPr="00F028B8">
              <w:rPr>
                <w:rFonts w:cs="Arial"/>
              </w:rPr>
              <w:t>as regards interoperability of spatial data sets</w:t>
            </w:r>
          </w:p>
        </w:tc>
      </w:tr>
      <w:tr w:rsidR="00F028B8" w14:paraId="1C2BA934" w14:textId="77777777" w:rsidTr="000062A0">
        <w:tc>
          <w:tcPr>
            <w:tcW w:w="1555" w:type="dxa"/>
          </w:tcPr>
          <w:p w14:paraId="4F8BB5FA" w14:textId="77777777" w:rsidR="00F028B8" w:rsidRDefault="00F028B8" w:rsidP="000062A0">
            <w:pPr>
              <w:rPr>
                <w:rFonts w:cs="Arial"/>
              </w:rPr>
            </w:pPr>
            <w:r w:rsidRPr="00C25C7C">
              <w:rPr>
                <w:rFonts w:cs="Arial"/>
              </w:rPr>
              <w:t>Description:</w:t>
            </w:r>
          </w:p>
        </w:tc>
        <w:tc>
          <w:tcPr>
            <w:tcW w:w="7455" w:type="dxa"/>
          </w:tcPr>
          <w:p w14:paraId="3DD12956" w14:textId="406A401F" w:rsidR="00F028B8" w:rsidRDefault="00F028B8" w:rsidP="000062A0">
            <w:pPr>
              <w:rPr>
                <w:rFonts w:cs="Arial"/>
              </w:rPr>
            </w:pPr>
            <w:r>
              <w:rPr>
                <w:rFonts w:cs="Arial"/>
              </w:rPr>
              <w:t>T</w:t>
            </w:r>
            <w:r w:rsidRPr="00F028B8">
              <w:rPr>
                <w:rFonts w:cs="Arial"/>
              </w:rPr>
              <w:t>he number of spatial data sets corresponding to the themes listed in Annex I</w:t>
            </w:r>
            <w:r>
              <w:rPr>
                <w:rFonts w:cs="Arial"/>
              </w:rPr>
              <w:t>I</w:t>
            </w:r>
            <w:r w:rsidRPr="00F028B8">
              <w:rPr>
                <w:rFonts w:cs="Arial"/>
              </w:rPr>
              <w:t xml:space="preserve"> to Directive 2007/2/EC which are in conformity wi</w:t>
            </w:r>
            <w:r>
              <w:rPr>
                <w:rFonts w:cs="Arial"/>
              </w:rPr>
              <w:t>th Regulation (EU) No 1089/2010</w:t>
            </w:r>
            <w:r w:rsidRPr="00F028B8">
              <w:rPr>
                <w:rFonts w:cs="Arial"/>
              </w:rPr>
              <w:t xml:space="preserve"> multiplied by a hundred and divided by the number of spatial data sets corresponding to the themes listed in that Annex</w:t>
            </w:r>
            <w:r>
              <w:rPr>
                <w:rFonts w:cs="Arial"/>
              </w:rPr>
              <w:t>.</w:t>
            </w:r>
          </w:p>
        </w:tc>
      </w:tr>
      <w:tr w:rsidR="00F028B8" w14:paraId="5A04226D" w14:textId="77777777" w:rsidTr="000062A0">
        <w:tc>
          <w:tcPr>
            <w:tcW w:w="1555" w:type="dxa"/>
          </w:tcPr>
          <w:p w14:paraId="5206E504" w14:textId="77777777" w:rsidR="00F028B8" w:rsidRDefault="00F028B8" w:rsidP="000062A0">
            <w:pPr>
              <w:rPr>
                <w:rFonts w:cs="Arial"/>
              </w:rPr>
            </w:pPr>
            <w:r>
              <w:rPr>
                <w:rFonts w:cs="Arial"/>
              </w:rPr>
              <w:t>Calculation method</w:t>
            </w:r>
          </w:p>
        </w:tc>
        <w:tc>
          <w:tcPr>
            <w:tcW w:w="7455" w:type="dxa"/>
          </w:tcPr>
          <w:p w14:paraId="6D8C9BF9" w14:textId="787F4083" w:rsidR="00F028B8" w:rsidRDefault="00F028B8" w:rsidP="000062A0">
            <w:pPr>
              <w:rPr>
                <w:rFonts w:cs="Arial"/>
              </w:rPr>
            </w:pPr>
            <w:r>
              <w:rPr>
                <w:rFonts w:cs="Arial"/>
              </w:rPr>
              <w:t xml:space="preserve">This is the </w:t>
            </w:r>
            <w:r w:rsidRPr="001B05C3">
              <w:rPr>
                <w:rFonts w:cs="Arial"/>
              </w:rPr>
              <w:t xml:space="preserve">amount of metadata </w:t>
            </w:r>
            <w:r>
              <w:rPr>
                <w:rFonts w:cs="Arial"/>
              </w:rPr>
              <w:t xml:space="preserve">dataset </w:t>
            </w:r>
            <w:r w:rsidRPr="001B05C3">
              <w:rPr>
                <w:rFonts w:cs="Arial"/>
              </w:rPr>
              <w:t>records published by MS</w:t>
            </w:r>
            <w:r>
              <w:rPr>
                <w:rFonts w:cs="Arial"/>
              </w:rPr>
              <w:t xml:space="preserve">, </w:t>
            </w:r>
            <w:r w:rsidRPr="00F028B8">
              <w:rPr>
                <w:rFonts w:cs="Arial"/>
              </w:rPr>
              <w:t>contains a keyword in the metadata element "Keyword" indicating that the dataset belongs to a theme from Annex I</w:t>
            </w:r>
            <w:r>
              <w:rPr>
                <w:rFonts w:cs="Arial"/>
              </w:rPr>
              <w:t xml:space="preserve">I, with </w:t>
            </w:r>
            <w:r w:rsidRPr="001B05C3">
              <w:rPr>
                <w:rFonts w:cs="Arial"/>
              </w:rPr>
              <w:t xml:space="preserve">conformity statement </w:t>
            </w:r>
            <w:r>
              <w:rPr>
                <w:rFonts w:cs="Arial"/>
              </w:rPr>
              <w:t xml:space="preserve">expressing the conformity with </w:t>
            </w:r>
            <w:r w:rsidRPr="001B05C3">
              <w:rPr>
                <w:rFonts w:cs="Arial"/>
              </w:rPr>
              <w:t>Regulation (EU) No 1089/2010 in the "Conformity" metadata element</w:t>
            </w:r>
            <w:r>
              <w:rPr>
                <w:rFonts w:cs="Arial"/>
              </w:rPr>
              <w:t xml:space="preserve">. </w:t>
            </w:r>
            <w:r w:rsidRPr="001B05C3">
              <w:rPr>
                <w:rFonts w:cs="Arial"/>
              </w:rPr>
              <w:t>The Commission will provide a code list with possible conformity statements in the INSPIRE Register.</w:t>
            </w:r>
          </w:p>
          <w:p w14:paraId="46489146" w14:textId="2CF00544" w:rsidR="00F028B8" w:rsidRDefault="005004A3" w:rsidP="000062A0">
            <w:pPr>
              <w:rPr>
                <w:rFonts w:cs="Arial"/>
              </w:rPr>
            </w:pPr>
            <w:r>
              <w:rPr>
                <w:rFonts w:cs="Arial"/>
              </w:rPr>
              <w:t xml:space="preserve">Member States are encouraged to use the INSPIRE reference validator for testing the conformity of their </w:t>
            </w:r>
            <w:r w:rsidRPr="001B05C3">
              <w:rPr>
                <w:rFonts w:cs="Arial"/>
              </w:rPr>
              <w:t>spatial data sets.</w:t>
            </w:r>
          </w:p>
          <w:p w14:paraId="68FA00F8" w14:textId="25E8A9EC" w:rsidR="00F028B8" w:rsidRDefault="005627E4" w:rsidP="00C6730C">
            <w:pPr>
              <w:rPr>
                <w:rFonts w:cs="Arial"/>
              </w:rPr>
            </w:pPr>
            <w:r w:rsidRPr="005627E4">
              <w:rPr>
                <w:rFonts w:cs="Arial"/>
              </w:rPr>
              <w:t xml:space="preserve">At the EU level, this indicator is calculated as the </w:t>
            </w:r>
            <w:r w:rsidR="00C6730C">
              <w:rPr>
                <w:rFonts w:cs="Arial"/>
              </w:rPr>
              <w:t>average</w:t>
            </w:r>
            <w:r w:rsidRPr="005627E4">
              <w:rPr>
                <w:rFonts w:cs="Arial"/>
              </w:rPr>
              <w:t xml:space="preserve"> of all Member State</w:t>
            </w:r>
            <w:r w:rsidR="00C6730C">
              <w:rPr>
                <w:rFonts w:cs="Arial"/>
              </w:rPr>
              <w:t>s</w:t>
            </w:r>
            <w:r w:rsidRPr="005627E4">
              <w:rPr>
                <w:rFonts w:cs="Arial"/>
              </w:rPr>
              <w:t xml:space="preserve">.  </w:t>
            </w:r>
          </w:p>
        </w:tc>
      </w:tr>
    </w:tbl>
    <w:p w14:paraId="73AE7182" w14:textId="77777777" w:rsidR="00D030E7" w:rsidRDefault="00D030E7" w:rsidP="00A01C5F">
      <w:pPr>
        <w:rPr>
          <w:rFonts w:cs="Arial"/>
        </w:rPr>
      </w:pPr>
    </w:p>
    <w:p w14:paraId="13ECCED5" w14:textId="77777777" w:rsidR="00F028B8" w:rsidRDefault="00F028B8" w:rsidP="00F028B8">
      <w:pPr>
        <w:rPr>
          <w:rFonts w:cs="Arial"/>
        </w:rPr>
      </w:pPr>
    </w:p>
    <w:tbl>
      <w:tblPr>
        <w:tblStyle w:val="TableGrid"/>
        <w:tblW w:w="0" w:type="auto"/>
        <w:tblLayout w:type="fixed"/>
        <w:tblLook w:val="04A0" w:firstRow="1" w:lastRow="0" w:firstColumn="1" w:lastColumn="0" w:noHBand="0" w:noVBand="1"/>
      </w:tblPr>
      <w:tblGrid>
        <w:gridCol w:w="1555"/>
        <w:gridCol w:w="7455"/>
      </w:tblGrid>
      <w:tr w:rsidR="00F028B8" w:rsidRPr="00F04EB8" w14:paraId="60A8FE1C" w14:textId="77777777" w:rsidTr="000062A0">
        <w:tc>
          <w:tcPr>
            <w:tcW w:w="1555" w:type="dxa"/>
          </w:tcPr>
          <w:p w14:paraId="7EC780FD" w14:textId="77777777" w:rsidR="00F028B8" w:rsidRPr="00F04EB8" w:rsidRDefault="00F028B8" w:rsidP="000062A0">
            <w:pPr>
              <w:rPr>
                <w:rFonts w:cs="Arial"/>
                <w:b/>
              </w:rPr>
            </w:pPr>
            <w:r w:rsidRPr="00F04EB8">
              <w:rPr>
                <w:rFonts w:cs="Arial"/>
                <w:b/>
              </w:rPr>
              <w:t>Indicator:</w:t>
            </w:r>
          </w:p>
        </w:tc>
        <w:tc>
          <w:tcPr>
            <w:tcW w:w="7455" w:type="dxa"/>
          </w:tcPr>
          <w:p w14:paraId="46AC7248" w14:textId="4E2D5194" w:rsidR="00F028B8" w:rsidRPr="00F04EB8" w:rsidRDefault="00F028B8" w:rsidP="000062A0">
            <w:pPr>
              <w:rPr>
                <w:rFonts w:cs="Arial"/>
                <w:b/>
              </w:rPr>
            </w:pPr>
            <w:r w:rsidRPr="001B05C3">
              <w:rPr>
                <w:rFonts w:cs="Arial"/>
                <w:b/>
              </w:rPr>
              <w:t>DSi2</w:t>
            </w:r>
            <w:r>
              <w:rPr>
                <w:rFonts w:cs="Arial"/>
                <w:b/>
              </w:rPr>
              <w:t>.3</w:t>
            </w:r>
          </w:p>
        </w:tc>
      </w:tr>
      <w:tr w:rsidR="00F028B8" w14:paraId="0E644E99" w14:textId="77777777" w:rsidTr="000062A0">
        <w:tc>
          <w:tcPr>
            <w:tcW w:w="1555" w:type="dxa"/>
          </w:tcPr>
          <w:p w14:paraId="4E295CBA" w14:textId="77777777" w:rsidR="00F028B8" w:rsidRDefault="00F028B8" w:rsidP="000062A0">
            <w:pPr>
              <w:rPr>
                <w:rFonts w:cs="Arial"/>
              </w:rPr>
            </w:pPr>
            <w:r w:rsidRPr="00C25C7C">
              <w:rPr>
                <w:rFonts w:cs="Arial"/>
              </w:rPr>
              <w:t>Definition:</w:t>
            </w:r>
          </w:p>
        </w:tc>
        <w:tc>
          <w:tcPr>
            <w:tcW w:w="7455" w:type="dxa"/>
          </w:tcPr>
          <w:p w14:paraId="23D71C45" w14:textId="79E3DAEC" w:rsidR="00F028B8" w:rsidRDefault="00F028B8" w:rsidP="000062A0">
            <w:pPr>
              <w:rPr>
                <w:rFonts w:cs="Arial"/>
              </w:rPr>
            </w:pPr>
            <w:r w:rsidRPr="00F028B8">
              <w:rPr>
                <w:rFonts w:cs="Arial"/>
              </w:rPr>
              <w:t>Percentage of  spatial data sets, corresponding to the themes listed in Annex I</w:t>
            </w:r>
            <w:r>
              <w:rPr>
                <w:rFonts w:cs="Arial"/>
              </w:rPr>
              <w:t>II</w:t>
            </w:r>
            <w:r w:rsidRPr="00F028B8">
              <w:rPr>
                <w:rFonts w:cs="Arial"/>
              </w:rPr>
              <w:t>, that are in conformity with Commissio</w:t>
            </w:r>
            <w:r>
              <w:rPr>
                <w:rFonts w:cs="Arial"/>
              </w:rPr>
              <w:t xml:space="preserve">n Regulation (EU) No 1089/2010 </w:t>
            </w:r>
            <w:r w:rsidRPr="00F028B8">
              <w:rPr>
                <w:rFonts w:cs="Arial"/>
              </w:rPr>
              <w:t>as regards interoperability of spatial data sets</w:t>
            </w:r>
          </w:p>
        </w:tc>
      </w:tr>
      <w:tr w:rsidR="00F028B8" w14:paraId="04007568" w14:textId="77777777" w:rsidTr="000062A0">
        <w:tc>
          <w:tcPr>
            <w:tcW w:w="1555" w:type="dxa"/>
          </w:tcPr>
          <w:p w14:paraId="3927FAA8" w14:textId="77777777" w:rsidR="00F028B8" w:rsidRDefault="00F028B8" w:rsidP="000062A0">
            <w:pPr>
              <w:rPr>
                <w:rFonts w:cs="Arial"/>
              </w:rPr>
            </w:pPr>
            <w:r w:rsidRPr="00C25C7C">
              <w:rPr>
                <w:rFonts w:cs="Arial"/>
              </w:rPr>
              <w:t>Description:</w:t>
            </w:r>
          </w:p>
        </w:tc>
        <w:tc>
          <w:tcPr>
            <w:tcW w:w="7455" w:type="dxa"/>
          </w:tcPr>
          <w:p w14:paraId="4DC7C5EA" w14:textId="6B2B6869" w:rsidR="00F028B8" w:rsidRDefault="00F028B8" w:rsidP="000062A0">
            <w:pPr>
              <w:rPr>
                <w:rFonts w:cs="Arial"/>
              </w:rPr>
            </w:pPr>
            <w:r>
              <w:rPr>
                <w:rFonts w:cs="Arial"/>
              </w:rPr>
              <w:t>T</w:t>
            </w:r>
            <w:r w:rsidRPr="00F028B8">
              <w:rPr>
                <w:rFonts w:cs="Arial"/>
              </w:rPr>
              <w:t>he number of spatial data sets corresponding to the themes listed in Annex I</w:t>
            </w:r>
            <w:r>
              <w:rPr>
                <w:rFonts w:cs="Arial"/>
              </w:rPr>
              <w:t>II</w:t>
            </w:r>
            <w:r w:rsidRPr="00F028B8">
              <w:rPr>
                <w:rFonts w:cs="Arial"/>
              </w:rPr>
              <w:t xml:space="preserve"> to Directive 2007/2/EC which are in conformity wi</w:t>
            </w:r>
            <w:r>
              <w:rPr>
                <w:rFonts w:cs="Arial"/>
              </w:rPr>
              <w:t>th Regulation (EU) No 1089/2010</w:t>
            </w:r>
            <w:r w:rsidRPr="00F028B8">
              <w:rPr>
                <w:rFonts w:cs="Arial"/>
              </w:rPr>
              <w:t xml:space="preserve"> multiplied by a hundred and divided by the number of spatial data sets corresponding to the themes listed in that Annex</w:t>
            </w:r>
            <w:r>
              <w:rPr>
                <w:rFonts w:cs="Arial"/>
              </w:rPr>
              <w:t>.</w:t>
            </w:r>
          </w:p>
        </w:tc>
      </w:tr>
      <w:tr w:rsidR="00F028B8" w14:paraId="60EB3EC3" w14:textId="77777777" w:rsidTr="000062A0">
        <w:tc>
          <w:tcPr>
            <w:tcW w:w="1555" w:type="dxa"/>
          </w:tcPr>
          <w:p w14:paraId="20A4D0A1" w14:textId="77777777" w:rsidR="00F028B8" w:rsidRDefault="00F028B8" w:rsidP="000062A0">
            <w:pPr>
              <w:rPr>
                <w:rFonts w:cs="Arial"/>
              </w:rPr>
            </w:pPr>
            <w:r>
              <w:rPr>
                <w:rFonts w:cs="Arial"/>
              </w:rPr>
              <w:t>Calculation method</w:t>
            </w:r>
          </w:p>
        </w:tc>
        <w:tc>
          <w:tcPr>
            <w:tcW w:w="7455" w:type="dxa"/>
          </w:tcPr>
          <w:p w14:paraId="6DE46CA7" w14:textId="69A1326F" w:rsidR="00F028B8" w:rsidRDefault="00F028B8" w:rsidP="000062A0">
            <w:pPr>
              <w:rPr>
                <w:rFonts w:cs="Arial"/>
              </w:rPr>
            </w:pPr>
            <w:r>
              <w:rPr>
                <w:rFonts w:cs="Arial"/>
              </w:rPr>
              <w:t xml:space="preserve">This is the </w:t>
            </w:r>
            <w:r w:rsidRPr="001B05C3">
              <w:rPr>
                <w:rFonts w:cs="Arial"/>
              </w:rPr>
              <w:t xml:space="preserve">amount of metadata </w:t>
            </w:r>
            <w:r>
              <w:rPr>
                <w:rFonts w:cs="Arial"/>
              </w:rPr>
              <w:t xml:space="preserve">dataset </w:t>
            </w:r>
            <w:r w:rsidRPr="001B05C3">
              <w:rPr>
                <w:rFonts w:cs="Arial"/>
              </w:rPr>
              <w:t>records published by MS</w:t>
            </w:r>
            <w:r>
              <w:rPr>
                <w:rFonts w:cs="Arial"/>
              </w:rPr>
              <w:t xml:space="preserve">, </w:t>
            </w:r>
            <w:r w:rsidRPr="00F028B8">
              <w:rPr>
                <w:rFonts w:cs="Arial"/>
              </w:rPr>
              <w:t>contains a keyword in the metadata element "Keyword" indicating that the dataset belongs to a theme from Annex I</w:t>
            </w:r>
            <w:r>
              <w:rPr>
                <w:rFonts w:cs="Arial"/>
              </w:rPr>
              <w:t xml:space="preserve">II, with </w:t>
            </w:r>
            <w:r w:rsidRPr="001B05C3">
              <w:rPr>
                <w:rFonts w:cs="Arial"/>
              </w:rPr>
              <w:t xml:space="preserve">conformity statement </w:t>
            </w:r>
            <w:r>
              <w:rPr>
                <w:rFonts w:cs="Arial"/>
              </w:rPr>
              <w:t xml:space="preserve">expressing </w:t>
            </w:r>
            <w:r>
              <w:rPr>
                <w:rFonts w:cs="Arial"/>
              </w:rPr>
              <w:lastRenderedPageBreak/>
              <w:t xml:space="preserve">the conformity with </w:t>
            </w:r>
            <w:r w:rsidRPr="001B05C3">
              <w:rPr>
                <w:rFonts w:cs="Arial"/>
              </w:rPr>
              <w:t>Regulation (EU) No 1089/2010 in the "Conformity" metadata element</w:t>
            </w:r>
            <w:r>
              <w:rPr>
                <w:rFonts w:cs="Arial"/>
              </w:rPr>
              <w:t xml:space="preserve">. </w:t>
            </w:r>
            <w:r w:rsidRPr="001B05C3">
              <w:rPr>
                <w:rFonts w:cs="Arial"/>
              </w:rPr>
              <w:t>The Commission will provide a code list with possible conformity statements in the INSPIRE Register.</w:t>
            </w:r>
          </w:p>
          <w:p w14:paraId="14FBC661" w14:textId="77777777" w:rsidR="005004A3" w:rsidRDefault="005004A3" w:rsidP="00955A01">
            <w:pPr>
              <w:rPr>
                <w:rFonts w:cs="Arial"/>
              </w:rPr>
            </w:pPr>
            <w:r>
              <w:rPr>
                <w:rFonts w:cs="Arial"/>
              </w:rPr>
              <w:t xml:space="preserve">Member States are encouraged to use the INSPIRE reference validator for testing the conformity of their </w:t>
            </w:r>
            <w:r w:rsidRPr="001B05C3">
              <w:rPr>
                <w:rFonts w:cs="Arial"/>
              </w:rPr>
              <w:t>spatial data sets.</w:t>
            </w:r>
          </w:p>
          <w:p w14:paraId="1C256047" w14:textId="3A9617E9" w:rsidR="00F028B8" w:rsidRDefault="005627E4" w:rsidP="00C6730C">
            <w:pPr>
              <w:rPr>
                <w:rFonts w:cs="Arial"/>
              </w:rPr>
            </w:pPr>
            <w:r w:rsidRPr="005627E4">
              <w:rPr>
                <w:rFonts w:cs="Arial"/>
              </w:rPr>
              <w:t xml:space="preserve">At the EU level, this indicator is calculated as the </w:t>
            </w:r>
            <w:r w:rsidR="00C6730C">
              <w:rPr>
                <w:rFonts w:cs="Arial"/>
              </w:rPr>
              <w:t>average</w:t>
            </w:r>
            <w:r w:rsidRPr="005627E4">
              <w:rPr>
                <w:rFonts w:cs="Arial"/>
              </w:rPr>
              <w:t xml:space="preserve"> of all Member State</w:t>
            </w:r>
            <w:r w:rsidR="00C6730C">
              <w:rPr>
                <w:rFonts w:cs="Arial"/>
              </w:rPr>
              <w:t>s</w:t>
            </w:r>
            <w:r w:rsidRPr="005627E4">
              <w:rPr>
                <w:rFonts w:cs="Arial"/>
              </w:rPr>
              <w:t xml:space="preserve">.  </w:t>
            </w:r>
          </w:p>
        </w:tc>
      </w:tr>
    </w:tbl>
    <w:p w14:paraId="3BD396CE" w14:textId="77777777" w:rsidR="00F028B8" w:rsidRDefault="00F028B8" w:rsidP="00F028B8">
      <w:pPr>
        <w:rPr>
          <w:rFonts w:cs="Arial"/>
        </w:rPr>
      </w:pPr>
    </w:p>
    <w:p w14:paraId="67B5FDA1" w14:textId="78AF965D" w:rsidR="00BA5854" w:rsidRDefault="00BA5854" w:rsidP="00BA5854">
      <w:pPr>
        <w:pStyle w:val="Heading2"/>
        <w:numPr>
          <w:ilvl w:val="0"/>
          <w:numId w:val="0"/>
        </w:numPr>
        <w:ind w:left="709" w:hanging="709"/>
      </w:pPr>
      <w:bookmarkStart w:id="5" w:name="_Toc10807204"/>
      <w:r>
        <w:t xml:space="preserve">2.4 </w:t>
      </w:r>
      <w:r w:rsidRPr="003B387E">
        <w:t xml:space="preserve">Monitoring </w:t>
      </w:r>
      <w:r w:rsidRPr="00BA5854">
        <w:t>of the accessibility of spatial data sets through view and download services</w:t>
      </w:r>
      <w:bookmarkEnd w:id="5"/>
    </w:p>
    <w:p w14:paraId="08763A2A" w14:textId="098B356F" w:rsidR="00BA5854" w:rsidRDefault="00BA5854" w:rsidP="00BA5854">
      <w:pPr>
        <w:rPr>
          <w:rFonts w:cs="Arial"/>
        </w:rPr>
      </w:pPr>
    </w:p>
    <w:tbl>
      <w:tblPr>
        <w:tblStyle w:val="TableGrid"/>
        <w:tblW w:w="0" w:type="auto"/>
        <w:tblLayout w:type="fixed"/>
        <w:tblLook w:val="04A0" w:firstRow="1" w:lastRow="0" w:firstColumn="1" w:lastColumn="0" w:noHBand="0" w:noVBand="1"/>
      </w:tblPr>
      <w:tblGrid>
        <w:gridCol w:w="1555"/>
        <w:gridCol w:w="7455"/>
      </w:tblGrid>
      <w:tr w:rsidR="00BA5854" w:rsidRPr="00F04EB8" w14:paraId="71094701" w14:textId="77777777" w:rsidTr="000062A0">
        <w:tc>
          <w:tcPr>
            <w:tcW w:w="1555" w:type="dxa"/>
          </w:tcPr>
          <w:p w14:paraId="3AA2014D" w14:textId="77777777" w:rsidR="00BA5854" w:rsidRPr="00F04EB8" w:rsidRDefault="00BA5854" w:rsidP="000062A0">
            <w:pPr>
              <w:rPr>
                <w:rFonts w:cs="Arial"/>
                <w:b/>
              </w:rPr>
            </w:pPr>
            <w:r w:rsidRPr="00F04EB8">
              <w:rPr>
                <w:rFonts w:cs="Arial"/>
                <w:b/>
              </w:rPr>
              <w:t>Indicator:</w:t>
            </w:r>
          </w:p>
        </w:tc>
        <w:tc>
          <w:tcPr>
            <w:tcW w:w="7455" w:type="dxa"/>
          </w:tcPr>
          <w:p w14:paraId="7418A89B" w14:textId="3572C930" w:rsidR="00BA5854" w:rsidRPr="00F04EB8" w:rsidRDefault="00BA5854" w:rsidP="000062A0">
            <w:pPr>
              <w:rPr>
                <w:rFonts w:cs="Arial"/>
                <w:b/>
              </w:rPr>
            </w:pPr>
            <w:r w:rsidRPr="00BA5854">
              <w:rPr>
                <w:rFonts w:cs="Arial"/>
                <w:b/>
              </w:rPr>
              <w:t>NSi2</w:t>
            </w:r>
          </w:p>
        </w:tc>
      </w:tr>
      <w:tr w:rsidR="00BA5854" w14:paraId="7176F615" w14:textId="77777777" w:rsidTr="000062A0">
        <w:tc>
          <w:tcPr>
            <w:tcW w:w="1555" w:type="dxa"/>
          </w:tcPr>
          <w:p w14:paraId="0BF5E595" w14:textId="77777777" w:rsidR="00BA5854" w:rsidRDefault="00BA5854" w:rsidP="000062A0">
            <w:pPr>
              <w:rPr>
                <w:rFonts w:cs="Arial"/>
              </w:rPr>
            </w:pPr>
            <w:r w:rsidRPr="00C25C7C">
              <w:rPr>
                <w:rFonts w:cs="Arial"/>
              </w:rPr>
              <w:t>Definition:</w:t>
            </w:r>
          </w:p>
        </w:tc>
        <w:tc>
          <w:tcPr>
            <w:tcW w:w="7455" w:type="dxa"/>
          </w:tcPr>
          <w:p w14:paraId="73752E1D" w14:textId="75F36BCA" w:rsidR="00BA5854" w:rsidRDefault="006776A8" w:rsidP="000062A0">
            <w:pPr>
              <w:rPr>
                <w:rFonts w:cs="Arial"/>
              </w:rPr>
            </w:pPr>
            <w:r>
              <w:rPr>
                <w:rFonts w:cs="Arial"/>
              </w:rPr>
              <w:t>The percentage of</w:t>
            </w:r>
            <w:r w:rsidRPr="006776A8">
              <w:rPr>
                <w:rFonts w:cs="Arial"/>
              </w:rPr>
              <w:t xml:space="preserve"> spatial data sets that are accessible</w:t>
            </w:r>
            <w:r>
              <w:rPr>
                <w:rFonts w:cs="Arial"/>
              </w:rPr>
              <w:t xml:space="preserve"> through view and the download </w:t>
            </w:r>
            <w:r w:rsidRPr="006776A8">
              <w:rPr>
                <w:rFonts w:cs="Arial"/>
              </w:rPr>
              <w:t>services</w:t>
            </w:r>
          </w:p>
        </w:tc>
      </w:tr>
      <w:tr w:rsidR="00BA5854" w14:paraId="3247CE4F" w14:textId="77777777" w:rsidTr="000062A0">
        <w:tc>
          <w:tcPr>
            <w:tcW w:w="1555" w:type="dxa"/>
          </w:tcPr>
          <w:p w14:paraId="7BCB8507" w14:textId="77777777" w:rsidR="00BA5854" w:rsidRDefault="00BA5854" w:rsidP="000062A0">
            <w:pPr>
              <w:rPr>
                <w:rFonts w:cs="Arial"/>
              </w:rPr>
            </w:pPr>
            <w:r w:rsidRPr="00C25C7C">
              <w:rPr>
                <w:rFonts w:cs="Arial"/>
              </w:rPr>
              <w:t>Description:</w:t>
            </w:r>
          </w:p>
        </w:tc>
        <w:tc>
          <w:tcPr>
            <w:tcW w:w="7455" w:type="dxa"/>
          </w:tcPr>
          <w:p w14:paraId="49BB520E" w14:textId="56AAFD67" w:rsidR="00BA5854" w:rsidRDefault="006776A8" w:rsidP="000062A0">
            <w:pPr>
              <w:rPr>
                <w:rFonts w:cs="Arial"/>
              </w:rPr>
            </w:pPr>
            <w:r w:rsidRPr="006776A8">
              <w:rPr>
                <w:rFonts w:cs="Arial"/>
              </w:rPr>
              <w:t>The number of spatial data sets for which both view and download services exist multiplied by a hundred and divided by the number of spatial data sets as given by indicator DSi1.1</w:t>
            </w:r>
          </w:p>
        </w:tc>
      </w:tr>
      <w:tr w:rsidR="00BA5854" w14:paraId="4B468AB5" w14:textId="77777777" w:rsidTr="000062A0">
        <w:tc>
          <w:tcPr>
            <w:tcW w:w="1555" w:type="dxa"/>
          </w:tcPr>
          <w:p w14:paraId="07C283C5" w14:textId="77777777" w:rsidR="00BA5854" w:rsidRDefault="00BA5854" w:rsidP="000062A0">
            <w:pPr>
              <w:rPr>
                <w:rFonts w:cs="Arial"/>
              </w:rPr>
            </w:pPr>
            <w:r>
              <w:rPr>
                <w:rFonts w:cs="Arial"/>
              </w:rPr>
              <w:t>Calculation method</w:t>
            </w:r>
          </w:p>
        </w:tc>
        <w:tc>
          <w:tcPr>
            <w:tcW w:w="7455" w:type="dxa"/>
          </w:tcPr>
          <w:p w14:paraId="2DACC346" w14:textId="68B427EB" w:rsidR="00BA5854" w:rsidRDefault="006776A8" w:rsidP="000062A0">
            <w:pPr>
              <w:rPr>
                <w:rFonts w:cs="Arial"/>
              </w:rPr>
            </w:pPr>
            <w:r>
              <w:rPr>
                <w:rFonts w:cs="Arial"/>
              </w:rPr>
              <w:t>T</w:t>
            </w:r>
            <w:r w:rsidRPr="006776A8">
              <w:rPr>
                <w:rFonts w:cs="Arial"/>
              </w:rPr>
              <w:t xml:space="preserve">he sum of all data sets that are indicated as both viewable and downloadable in the </w:t>
            </w:r>
            <w:r>
              <w:rPr>
                <w:rFonts w:cs="Arial"/>
              </w:rPr>
              <w:t>G</w:t>
            </w:r>
            <w:r w:rsidRPr="006776A8">
              <w:rPr>
                <w:rFonts w:cs="Arial"/>
              </w:rPr>
              <w:t xml:space="preserve">eoportal will be divided by the sum of the data sets for which metadata </w:t>
            </w:r>
            <w:r w:rsidR="00BB3854">
              <w:rPr>
                <w:rFonts w:cs="Arial"/>
              </w:rPr>
              <w:t>are</w:t>
            </w:r>
            <w:r w:rsidR="00BB3854" w:rsidRPr="006776A8">
              <w:rPr>
                <w:rFonts w:cs="Arial"/>
              </w:rPr>
              <w:t xml:space="preserve"> </w:t>
            </w:r>
            <w:r w:rsidRPr="006776A8">
              <w:rPr>
                <w:rFonts w:cs="Arial"/>
              </w:rPr>
              <w:t>published in the Geoportal</w:t>
            </w:r>
            <w:r>
              <w:rPr>
                <w:rFonts w:cs="Arial"/>
              </w:rPr>
              <w:t xml:space="preserve"> (</w:t>
            </w:r>
            <w:r w:rsidRPr="006776A8">
              <w:rPr>
                <w:rFonts w:cs="Arial"/>
              </w:rPr>
              <w:t>DSi1.1</w:t>
            </w:r>
            <w:r>
              <w:rPr>
                <w:rFonts w:cs="Arial"/>
              </w:rPr>
              <w:t>)</w:t>
            </w:r>
            <w:r w:rsidRPr="006776A8">
              <w:rPr>
                <w:rFonts w:cs="Arial"/>
              </w:rPr>
              <w:t>.</w:t>
            </w:r>
          </w:p>
          <w:p w14:paraId="57CC14CB" w14:textId="0E6684BB" w:rsidR="00BA5854" w:rsidRDefault="005627E4" w:rsidP="00C6730C">
            <w:pPr>
              <w:rPr>
                <w:rFonts w:cs="Arial"/>
              </w:rPr>
            </w:pPr>
            <w:r w:rsidRPr="005627E4">
              <w:rPr>
                <w:rFonts w:cs="Arial"/>
              </w:rPr>
              <w:t xml:space="preserve">At the EU level, this indicator is calculated as the </w:t>
            </w:r>
            <w:r w:rsidR="00C6730C">
              <w:rPr>
                <w:rFonts w:cs="Arial"/>
              </w:rPr>
              <w:t>average</w:t>
            </w:r>
            <w:r w:rsidRPr="005627E4">
              <w:rPr>
                <w:rFonts w:cs="Arial"/>
              </w:rPr>
              <w:t xml:space="preserve"> of all Member State</w:t>
            </w:r>
            <w:r w:rsidR="00C6730C">
              <w:rPr>
                <w:rFonts w:cs="Arial"/>
              </w:rPr>
              <w:t>s</w:t>
            </w:r>
            <w:r w:rsidRPr="005627E4">
              <w:rPr>
                <w:rFonts w:cs="Arial"/>
              </w:rPr>
              <w:t xml:space="preserve">.  </w:t>
            </w:r>
          </w:p>
        </w:tc>
      </w:tr>
    </w:tbl>
    <w:p w14:paraId="6C442F39" w14:textId="77777777" w:rsidR="00BA5854" w:rsidRDefault="00BA5854" w:rsidP="00BA5854">
      <w:pPr>
        <w:rPr>
          <w:rFonts w:cs="Arial"/>
        </w:rPr>
      </w:pPr>
    </w:p>
    <w:p w14:paraId="062F71D3" w14:textId="77777777" w:rsidR="006776A8" w:rsidRDefault="006776A8" w:rsidP="006776A8">
      <w:pPr>
        <w:rPr>
          <w:rFonts w:cs="Arial"/>
        </w:rPr>
      </w:pPr>
    </w:p>
    <w:tbl>
      <w:tblPr>
        <w:tblStyle w:val="TableGrid"/>
        <w:tblW w:w="0" w:type="auto"/>
        <w:tblLayout w:type="fixed"/>
        <w:tblLook w:val="04A0" w:firstRow="1" w:lastRow="0" w:firstColumn="1" w:lastColumn="0" w:noHBand="0" w:noVBand="1"/>
      </w:tblPr>
      <w:tblGrid>
        <w:gridCol w:w="1555"/>
        <w:gridCol w:w="7455"/>
      </w:tblGrid>
      <w:tr w:rsidR="006776A8" w:rsidRPr="00F04EB8" w14:paraId="41BCFEE0" w14:textId="77777777" w:rsidTr="000062A0">
        <w:tc>
          <w:tcPr>
            <w:tcW w:w="1555" w:type="dxa"/>
          </w:tcPr>
          <w:p w14:paraId="652E5995" w14:textId="77777777" w:rsidR="006776A8" w:rsidRPr="00F04EB8" w:rsidRDefault="006776A8" w:rsidP="000062A0">
            <w:pPr>
              <w:rPr>
                <w:rFonts w:cs="Arial"/>
                <w:b/>
              </w:rPr>
            </w:pPr>
            <w:r w:rsidRPr="00F04EB8">
              <w:rPr>
                <w:rFonts w:cs="Arial"/>
                <w:b/>
              </w:rPr>
              <w:t>Indicator:</w:t>
            </w:r>
          </w:p>
        </w:tc>
        <w:tc>
          <w:tcPr>
            <w:tcW w:w="7455" w:type="dxa"/>
          </w:tcPr>
          <w:p w14:paraId="3E2F903B" w14:textId="77F0E168" w:rsidR="006776A8" w:rsidRPr="00F04EB8" w:rsidRDefault="006776A8" w:rsidP="000062A0">
            <w:pPr>
              <w:rPr>
                <w:rFonts w:cs="Arial"/>
                <w:b/>
              </w:rPr>
            </w:pPr>
            <w:r w:rsidRPr="00BA5854">
              <w:rPr>
                <w:rFonts w:cs="Arial"/>
                <w:b/>
              </w:rPr>
              <w:t>NSi2</w:t>
            </w:r>
            <w:r>
              <w:rPr>
                <w:rFonts w:cs="Arial"/>
                <w:b/>
              </w:rPr>
              <w:t>.1</w:t>
            </w:r>
          </w:p>
        </w:tc>
      </w:tr>
      <w:tr w:rsidR="006776A8" w14:paraId="3304EB7B" w14:textId="77777777" w:rsidTr="000062A0">
        <w:tc>
          <w:tcPr>
            <w:tcW w:w="1555" w:type="dxa"/>
          </w:tcPr>
          <w:p w14:paraId="0A8AB03E" w14:textId="77777777" w:rsidR="006776A8" w:rsidRDefault="006776A8" w:rsidP="000062A0">
            <w:pPr>
              <w:rPr>
                <w:rFonts w:cs="Arial"/>
              </w:rPr>
            </w:pPr>
            <w:r w:rsidRPr="00C25C7C">
              <w:rPr>
                <w:rFonts w:cs="Arial"/>
              </w:rPr>
              <w:t>Definition:</w:t>
            </w:r>
          </w:p>
        </w:tc>
        <w:tc>
          <w:tcPr>
            <w:tcW w:w="7455" w:type="dxa"/>
          </w:tcPr>
          <w:p w14:paraId="0597FE56" w14:textId="5670E2C6" w:rsidR="006776A8" w:rsidRDefault="006776A8" w:rsidP="000062A0">
            <w:pPr>
              <w:rPr>
                <w:rFonts w:cs="Arial"/>
              </w:rPr>
            </w:pPr>
            <w:r>
              <w:rPr>
                <w:rFonts w:cs="Arial"/>
              </w:rPr>
              <w:t xml:space="preserve">The percentage of </w:t>
            </w:r>
            <w:r w:rsidRPr="006776A8">
              <w:rPr>
                <w:rFonts w:cs="Arial"/>
              </w:rPr>
              <w:t>spatial data sets that are accessible through view services</w:t>
            </w:r>
          </w:p>
        </w:tc>
      </w:tr>
      <w:tr w:rsidR="006776A8" w14:paraId="37170324" w14:textId="77777777" w:rsidTr="000062A0">
        <w:tc>
          <w:tcPr>
            <w:tcW w:w="1555" w:type="dxa"/>
          </w:tcPr>
          <w:p w14:paraId="5ECA9709" w14:textId="77777777" w:rsidR="006776A8" w:rsidRDefault="006776A8" w:rsidP="000062A0">
            <w:pPr>
              <w:rPr>
                <w:rFonts w:cs="Arial"/>
              </w:rPr>
            </w:pPr>
            <w:r w:rsidRPr="00C25C7C">
              <w:rPr>
                <w:rFonts w:cs="Arial"/>
              </w:rPr>
              <w:t>Description:</w:t>
            </w:r>
          </w:p>
        </w:tc>
        <w:tc>
          <w:tcPr>
            <w:tcW w:w="7455" w:type="dxa"/>
          </w:tcPr>
          <w:p w14:paraId="1D112DCE" w14:textId="01C002D1" w:rsidR="006776A8" w:rsidRDefault="006776A8" w:rsidP="006776A8">
            <w:pPr>
              <w:rPr>
                <w:rFonts w:cs="Arial"/>
              </w:rPr>
            </w:pPr>
            <w:r w:rsidRPr="006776A8">
              <w:rPr>
                <w:rFonts w:cs="Arial"/>
              </w:rPr>
              <w:t xml:space="preserve">The number of spatial data sets for which </w:t>
            </w:r>
            <w:r>
              <w:rPr>
                <w:rFonts w:cs="Arial"/>
              </w:rPr>
              <w:t>a</w:t>
            </w:r>
            <w:r w:rsidRPr="006776A8">
              <w:rPr>
                <w:rFonts w:cs="Arial"/>
              </w:rPr>
              <w:t xml:space="preserve"> view </w:t>
            </w:r>
            <w:r>
              <w:rPr>
                <w:rFonts w:cs="Arial"/>
              </w:rPr>
              <w:t>service</w:t>
            </w:r>
            <w:r w:rsidRPr="006776A8">
              <w:rPr>
                <w:rFonts w:cs="Arial"/>
              </w:rPr>
              <w:t xml:space="preserve"> exist multiplied by a hundred and divided by the number of spatial data sets as given by indicator DSi1.1</w:t>
            </w:r>
          </w:p>
        </w:tc>
      </w:tr>
      <w:tr w:rsidR="006776A8" w14:paraId="2083225A" w14:textId="77777777" w:rsidTr="000062A0">
        <w:tc>
          <w:tcPr>
            <w:tcW w:w="1555" w:type="dxa"/>
          </w:tcPr>
          <w:p w14:paraId="08E0449D" w14:textId="77777777" w:rsidR="006776A8" w:rsidRDefault="006776A8" w:rsidP="000062A0">
            <w:pPr>
              <w:rPr>
                <w:rFonts w:cs="Arial"/>
              </w:rPr>
            </w:pPr>
            <w:r>
              <w:rPr>
                <w:rFonts w:cs="Arial"/>
              </w:rPr>
              <w:t>Calculation method</w:t>
            </w:r>
          </w:p>
        </w:tc>
        <w:tc>
          <w:tcPr>
            <w:tcW w:w="7455" w:type="dxa"/>
          </w:tcPr>
          <w:p w14:paraId="1EB4E7EB" w14:textId="7F4A3721" w:rsidR="006776A8" w:rsidRDefault="006776A8" w:rsidP="000062A0">
            <w:pPr>
              <w:rPr>
                <w:rFonts w:cs="Arial"/>
              </w:rPr>
            </w:pPr>
            <w:r>
              <w:rPr>
                <w:rFonts w:cs="Arial"/>
              </w:rPr>
              <w:t>T</w:t>
            </w:r>
            <w:r w:rsidRPr="006776A8">
              <w:rPr>
                <w:rFonts w:cs="Arial"/>
              </w:rPr>
              <w:t xml:space="preserve">he sum of all data sets that are indicated as viewable in the </w:t>
            </w:r>
            <w:r>
              <w:rPr>
                <w:rFonts w:cs="Arial"/>
              </w:rPr>
              <w:t>G</w:t>
            </w:r>
            <w:r w:rsidRPr="006776A8">
              <w:rPr>
                <w:rFonts w:cs="Arial"/>
              </w:rPr>
              <w:t>eoportal will be divided by the sum of the data sets for which metadata is published in the Geoportal</w:t>
            </w:r>
            <w:r>
              <w:rPr>
                <w:rFonts w:cs="Arial"/>
              </w:rPr>
              <w:t xml:space="preserve"> (</w:t>
            </w:r>
            <w:r w:rsidRPr="006776A8">
              <w:rPr>
                <w:rFonts w:cs="Arial"/>
              </w:rPr>
              <w:t>DSi1.1</w:t>
            </w:r>
            <w:r>
              <w:rPr>
                <w:rFonts w:cs="Arial"/>
              </w:rPr>
              <w:t>)</w:t>
            </w:r>
            <w:r w:rsidRPr="006776A8">
              <w:rPr>
                <w:rFonts w:cs="Arial"/>
              </w:rPr>
              <w:t>.</w:t>
            </w:r>
          </w:p>
          <w:p w14:paraId="1D31F4A5" w14:textId="0EC70097" w:rsidR="006776A8" w:rsidRDefault="00A53AAD" w:rsidP="00C6730C">
            <w:pPr>
              <w:rPr>
                <w:rFonts w:cs="Arial"/>
              </w:rPr>
            </w:pPr>
            <w:r w:rsidRPr="00A53AAD">
              <w:rPr>
                <w:rFonts w:cs="Arial"/>
              </w:rPr>
              <w:t xml:space="preserve">At the EU level, this indicator is calculated as the </w:t>
            </w:r>
            <w:r w:rsidR="00C6730C">
              <w:rPr>
                <w:rFonts w:cs="Arial"/>
              </w:rPr>
              <w:t>average</w:t>
            </w:r>
            <w:r w:rsidRPr="00A53AAD">
              <w:rPr>
                <w:rFonts w:cs="Arial"/>
              </w:rPr>
              <w:t xml:space="preserve"> of all Member </w:t>
            </w:r>
            <w:r w:rsidRPr="00A53AAD">
              <w:rPr>
                <w:rFonts w:cs="Arial"/>
              </w:rPr>
              <w:lastRenderedPageBreak/>
              <w:t>State</w:t>
            </w:r>
            <w:r w:rsidR="00C6730C">
              <w:rPr>
                <w:rFonts w:cs="Arial"/>
              </w:rPr>
              <w:t>s</w:t>
            </w:r>
            <w:r w:rsidRPr="00A53AAD">
              <w:rPr>
                <w:rFonts w:cs="Arial"/>
              </w:rPr>
              <w:t xml:space="preserve">.  </w:t>
            </w:r>
          </w:p>
        </w:tc>
      </w:tr>
    </w:tbl>
    <w:p w14:paraId="61C9AA50" w14:textId="77777777" w:rsidR="006776A8" w:rsidRDefault="006776A8" w:rsidP="006776A8">
      <w:pPr>
        <w:rPr>
          <w:rFonts w:cs="Arial"/>
        </w:rPr>
      </w:pPr>
    </w:p>
    <w:tbl>
      <w:tblPr>
        <w:tblStyle w:val="TableGrid"/>
        <w:tblW w:w="0" w:type="auto"/>
        <w:tblLayout w:type="fixed"/>
        <w:tblLook w:val="04A0" w:firstRow="1" w:lastRow="0" w:firstColumn="1" w:lastColumn="0" w:noHBand="0" w:noVBand="1"/>
      </w:tblPr>
      <w:tblGrid>
        <w:gridCol w:w="1555"/>
        <w:gridCol w:w="7455"/>
      </w:tblGrid>
      <w:tr w:rsidR="006776A8" w:rsidRPr="00F04EB8" w14:paraId="421460E3" w14:textId="77777777" w:rsidTr="000062A0">
        <w:tc>
          <w:tcPr>
            <w:tcW w:w="1555" w:type="dxa"/>
          </w:tcPr>
          <w:p w14:paraId="34B2EB48" w14:textId="77777777" w:rsidR="006776A8" w:rsidRPr="00F04EB8" w:rsidRDefault="006776A8" w:rsidP="000062A0">
            <w:pPr>
              <w:rPr>
                <w:rFonts w:cs="Arial"/>
                <w:b/>
              </w:rPr>
            </w:pPr>
            <w:r w:rsidRPr="00F04EB8">
              <w:rPr>
                <w:rFonts w:cs="Arial"/>
                <w:b/>
              </w:rPr>
              <w:t>Indicator:</w:t>
            </w:r>
          </w:p>
        </w:tc>
        <w:tc>
          <w:tcPr>
            <w:tcW w:w="7455" w:type="dxa"/>
          </w:tcPr>
          <w:p w14:paraId="4EF903D2" w14:textId="7A4AAF2C" w:rsidR="006776A8" w:rsidRPr="00F04EB8" w:rsidRDefault="006776A8" w:rsidP="000062A0">
            <w:pPr>
              <w:rPr>
                <w:rFonts w:cs="Arial"/>
                <w:b/>
              </w:rPr>
            </w:pPr>
            <w:r w:rsidRPr="00BA5854">
              <w:rPr>
                <w:rFonts w:cs="Arial"/>
                <w:b/>
              </w:rPr>
              <w:t>NSi2</w:t>
            </w:r>
            <w:r>
              <w:rPr>
                <w:rFonts w:cs="Arial"/>
                <w:b/>
              </w:rPr>
              <w:t>.2</w:t>
            </w:r>
          </w:p>
        </w:tc>
      </w:tr>
      <w:tr w:rsidR="006776A8" w14:paraId="5A1D9AF0" w14:textId="77777777" w:rsidTr="000062A0">
        <w:tc>
          <w:tcPr>
            <w:tcW w:w="1555" w:type="dxa"/>
          </w:tcPr>
          <w:p w14:paraId="22D5B6E3" w14:textId="77777777" w:rsidR="006776A8" w:rsidRDefault="006776A8" w:rsidP="000062A0">
            <w:pPr>
              <w:rPr>
                <w:rFonts w:cs="Arial"/>
              </w:rPr>
            </w:pPr>
            <w:r w:rsidRPr="00C25C7C">
              <w:rPr>
                <w:rFonts w:cs="Arial"/>
              </w:rPr>
              <w:t>Definition:</w:t>
            </w:r>
          </w:p>
        </w:tc>
        <w:tc>
          <w:tcPr>
            <w:tcW w:w="7455" w:type="dxa"/>
          </w:tcPr>
          <w:p w14:paraId="7BD5F4CF" w14:textId="2444453E" w:rsidR="006776A8" w:rsidRDefault="006776A8" w:rsidP="006776A8">
            <w:pPr>
              <w:rPr>
                <w:rFonts w:cs="Arial"/>
              </w:rPr>
            </w:pPr>
            <w:r>
              <w:rPr>
                <w:rFonts w:cs="Arial"/>
              </w:rPr>
              <w:t xml:space="preserve">The percentage of </w:t>
            </w:r>
            <w:r w:rsidRPr="006776A8">
              <w:rPr>
                <w:rFonts w:cs="Arial"/>
              </w:rPr>
              <w:t xml:space="preserve">spatial data sets that are accessible through </w:t>
            </w:r>
            <w:r>
              <w:rPr>
                <w:rFonts w:cs="Arial"/>
              </w:rPr>
              <w:t>download</w:t>
            </w:r>
            <w:r w:rsidRPr="006776A8">
              <w:rPr>
                <w:rFonts w:cs="Arial"/>
              </w:rPr>
              <w:t xml:space="preserve"> services</w:t>
            </w:r>
          </w:p>
        </w:tc>
      </w:tr>
      <w:tr w:rsidR="006776A8" w14:paraId="19035F43" w14:textId="77777777" w:rsidTr="000062A0">
        <w:tc>
          <w:tcPr>
            <w:tcW w:w="1555" w:type="dxa"/>
          </w:tcPr>
          <w:p w14:paraId="3CCDDF33" w14:textId="77777777" w:rsidR="006776A8" w:rsidRDefault="006776A8" w:rsidP="000062A0">
            <w:pPr>
              <w:rPr>
                <w:rFonts w:cs="Arial"/>
              </w:rPr>
            </w:pPr>
            <w:r w:rsidRPr="00C25C7C">
              <w:rPr>
                <w:rFonts w:cs="Arial"/>
              </w:rPr>
              <w:t>Description:</w:t>
            </w:r>
          </w:p>
        </w:tc>
        <w:tc>
          <w:tcPr>
            <w:tcW w:w="7455" w:type="dxa"/>
          </w:tcPr>
          <w:p w14:paraId="40F88497" w14:textId="02401611" w:rsidR="006776A8" w:rsidRDefault="006776A8" w:rsidP="006776A8">
            <w:pPr>
              <w:rPr>
                <w:rFonts w:cs="Arial"/>
              </w:rPr>
            </w:pPr>
            <w:r w:rsidRPr="006776A8">
              <w:rPr>
                <w:rFonts w:cs="Arial"/>
              </w:rPr>
              <w:t xml:space="preserve">The number of spatial data sets for which </w:t>
            </w:r>
            <w:r>
              <w:rPr>
                <w:rFonts w:cs="Arial"/>
              </w:rPr>
              <w:t>a</w:t>
            </w:r>
            <w:r w:rsidRPr="006776A8">
              <w:rPr>
                <w:rFonts w:cs="Arial"/>
              </w:rPr>
              <w:t xml:space="preserve"> </w:t>
            </w:r>
            <w:r>
              <w:rPr>
                <w:rFonts w:cs="Arial"/>
              </w:rPr>
              <w:t>download</w:t>
            </w:r>
            <w:r w:rsidRPr="006776A8">
              <w:rPr>
                <w:rFonts w:cs="Arial"/>
              </w:rPr>
              <w:t xml:space="preserve"> </w:t>
            </w:r>
            <w:r>
              <w:rPr>
                <w:rFonts w:cs="Arial"/>
              </w:rPr>
              <w:t>service</w:t>
            </w:r>
            <w:r w:rsidRPr="006776A8">
              <w:rPr>
                <w:rFonts w:cs="Arial"/>
              </w:rPr>
              <w:t xml:space="preserve"> exist multiplied by a hundred and divided by the number of spatial data sets as given by indicator DSi1.1</w:t>
            </w:r>
          </w:p>
        </w:tc>
      </w:tr>
      <w:tr w:rsidR="006776A8" w14:paraId="777DFE01" w14:textId="77777777" w:rsidTr="000062A0">
        <w:tc>
          <w:tcPr>
            <w:tcW w:w="1555" w:type="dxa"/>
          </w:tcPr>
          <w:p w14:paraId="316A4EFA" w14:textId="77777777" w:rsidR="006776A8" w:rsidRDefault="006776A8" w:rsidP="000062A0">
            <w:pPr>
              <w:rPr>
                <w:rFonts w:cs="Arial"/>
              </w:rPr>
            </w:pPr>
            <w:r>
              <w:rPr>
                <w:rFonts w:cs="Arial"/>
              </w:rPr>
              <w:t>Calculation method</w:t>
            </w:r>
          </w:p>
        </w:tc>
        <w:tc>
          <w:tcPr>
            <w:tcW w:w="7455" w:type="dxa"/>
          </w:tcPr>
          <w:p w14:paraId="5664AB27" w14:textId="033B35DF" w:rsidR="006776A8" w:rsidRDefault="006776A8" w:rsidP="000062A0">
            <w:pPr>
              <w:rPr>
                <w:rFonts w:cs="Arial"/>
              </w:rPr>
            </w:pPr>
            <w:r>
              <w:rPr>
                <w:rFonts w:cs="Arial"/>
              </w:rPr>
              <w:t>T</w:t>
            </w:r>
            <w:r w:rsidRPr="006776A8">
              <w:rPr>
                <w:rFonts w:cs="Arial"/>
              </w:rPr>
              <w:t xml:space="preserve">he sum of all data sets that are indicated as viewable in the </w:t>
            </w:r>
            <w:r>
              <w:rPr>
                <w:rFonts w:cs="Arial"/>
              </w:rPr>
              <w:t>G</w:t>
            </w:r>
            <w:r w:rsidRPr="006776A8">
              <w:rPr>
                <w:rFonts w:cs="Arial"/>
              </w:rPr>
              <w:t>eoportal will be divided by the sum of the data sets for which metadata is published in the Geoportal</w:t>
            </w:r>
            <w:r>
              <w:rPr>
                <w:rFonts w:cs="Arial"/>
              </w:rPr>
              <w:t xml:space="preserve"> (</w:t>
            </w:r>
            <w:r w:rsidRPr="006776A8">
              <w:rPr>
                <w:rFonts w:cs="Arial"/>
              </w:rPr>
              <w:t>DSi1.1</w:t>
            </w:r>
            <w:r>
              <w:rPr>
                <w:rFonts w:cs="Arial"/>
              </w:rPr>
              <w:t>)</w:t>
            </w:r>
            <w:r w:rsidRPr="006776A8">
              <w:rPr>
                <w:rFonts w:cs="Arial"/>
              </w:rPr>
              <w:t>.</w:t>
            </w:r>
          </w:p>
          <w:p w14:paraId="6F06EB4E" w14:textId="7AD7E73F" w:rsidR="006776A8" w:rsidRDefault="00A53AAD" w:rsidP="00C6730C">
            <w:pPr>
              <w:rPr>
                <w:rFonts w:cs="Arial"/>
              </w:rPr>
            </w:pPr>
            <w:r w:rsidRPr="00A53AAD">
              <w:rPr>
                <w:rFonts w:cs="Arial"/>
              </w:rPr>
              <w:t xml:space="preserve">At the EU level, this indicator is calculated as the </w:t>
            </w:r>
            <w:r w:rsidR="00C6730C">
              <w:rPr>
                <w:rFonts w:cs="Arial"/>
              </w:rPr>
              <w:t>average</w:t>
            </w:r>
            <w:r w:rsidRPr="00A53AAD">
              <w:rPr>
                <w:rFonts w:cs="Arial"/>
              </w:rPr>
              <w:t xml:space="preserve"> of all Member State</w:t>
            </w:r>
            <w:r w:rsidR="00C6730C">
              <w:rPr>
                <w:rFonts w:cs="Arial"/>
              </w:rPr>
              <w:t>s</w:t>
            </w:r>
            <w:r w:rsidRPr="00A53AAD">
              <w:rPr>
                <w:rFonts w:cs="Arial"/>
              </w:rPr>
              <w:t xml:space="preserve">.  </w:t>
            </w:r>
          </w:p>
        </w:tc>
      </w:tr>
    </w:tbl>
    <w:p w14:paraId="1FA1A1F9" w14:textId="08DE8D29" w:rsidR="001B05C3" w:rsidRDefault="001B05C3" w:rsidP="00A01C5F">
      <w:pPr>
        <w:rPr>
          <w:rFonts w:cs="Arial"/>
        </w:rPr>
      </w:pPr>
    </w:p>
    <w:p w14:paraId="20FFB06B" w14:textId="595DD40D" w:rsidR="00DE6C27" w:rsidRDefault="00DE6C27" w:rsidP="00DE6C27">
      <w:pPr>
        <w:pStyle w:val="Heading2"/>
        <w:numPr>
          <w:ilvl w:val="0"/>
          <w:numId w:val="0"/>
        </w:numPr>
        <w:ind w:left="709" w:hanging="709"/>
      </w:pPr>
      <w:bookmarkStart w:id="6" w:name="_Toc10807205"/>
      <w:r>
        <w:t xml:space="preserve">2.5 </w:t>
      </w:r>
      <w:r w:rsidRPr="003B387E">
        <w:t xml:space="preserve">Monitoring </w:t>
      </w:r>
      <w:r w:rsidRPr="00DE6C27">
        <w:t>of the conformity of network services</w:t>
      </w:r>
      <w:bookmarkEnd w:id="6"/>
    </w:p>
    <w:p w14:paraId="087269F5" w14:textId="081053C8" w:rsidR="00DE6C27" w:rsidRDefault="00DE6C27" w:rsidP="00DE6C27">
      <w:pPr>
        <w:rPr>
          <w:rFonts w:cs="Arial"/>
        </w:rPr>
      </w:pPr>
    </w:p>
    <w:tbl>
      <w:tblPr>
        <w:tblStyle w:val="TableGrid"/>
        <w:tblW w:w="0" w:type="auto"/>
        <w:tblLayout w:type="fixed"/>
        <w:tblLook w:val="04A0" w:firstRow="1" w:lastRow="0" w:firstColumn="1" w:lastColumn="0" w:noHBand="0" w:noVBand="1"/>
      </w:tblPr>
      <w:tblGrid>
        <w:gridCol w:w="1555"/>
        <w:gridCol w:w="7455"/>
      </w:tblGrid>
      <w:tr w:rsidR="00DE6C27" w:rsidRPr="00F04EB8" w14:paraId="199E599A" w14:textId="77777777" w:rsidTr="000062A0">
        <w:tc>
          <w:tcPr>
            <w:tcW w:w="1555" w:type="dxa"/>
          </w:tcPr>
          <w:p w14:paraId="2857830B" w14:textId="77777777" w:rsidR="00DE6C27" w:rsidRPr="00F04EB8" w:rsidRDefault="00DE6C27" w:rsidP="000062A0">
            <w:pPr>
              <w:rPr>
                <w:rFonts w:cs="Arial"/>
                <w:b/>
              </w:rPr>
            </w:pPr>
            <w:r w:rsidRPr="00F04EB8">
              <w:rPr>
                <w:rFonts w:cs="Arial"/>
                <w:b/>
              </w:rPr>
              <w:t>Indicator:</w:t>
            </w:r>
          </w:p>
        </w:tc>
        <w:tc>
          <w:tcPr>
            <w:tcW w:w="7455" w:type="dxa"/>
          </w:tcPr>
          <w:p w14:paraId="404B08D3" w14:textId="65819E43" w:rsidR="00DE6C27" w:rsidRPr="00F04EB8" w:rsidRDefault="00DE6C27" w:rsidP="000062A0">
            <w:pPr>
              <w:rPr>
                <w:rFonts w:cs="Arial"/>
                <w:b/>
              </w:rPr>
            </w:pPr>
            <w:r>
              <w:rPr>
                <w:rFonts w:cs="Arial"/>
                <w:b/>
              </w:rPr>
              <w:t>NSi4</w:t>
            </w:r>
          </w:p>
        </w:tc>
      </w:tr>
      <w:tr w:rsidR="00DE6C27" w14:paraId="5214BB7B" w14:textId="77777777" w:rsidTr="000062A0">
        <w:tc>
          <w:tcPr>
            <w:tcW w:w="1555" w:type="dxa"/>
          </w:tcPr>
          <w:p w14:paraId="6AE01F57" w14:textId="77777777" w:rsidR="00DE6C27" w:rsidRDefault="00DE6C27" w:rsidP="000062A0">
            <w:pPr>
              <w:rPr>
                <w:rFonts w:cs="Arial"/>
              </w:rPr>
            </w:pPr>
            <w:r w:rsidRPr="00C25C7C">
              <w:rPr>
                <w:rFonts w:cs="Arial"/>
              </w:rPr>
              <w:t>Definition:</w:t>
            </w:r>
          </w:p>
        </w:tc>
        <w:tc>
          <w:tcPr>
            <w:tcW w:w="7455" w:type="dxa"/>
          </w:tcPr>
          <w:p w14:paraId="331F47DD" w14:textId="4F6668A0" w:rsidR="00DE6C27" w:rsidRDefault="00DE6C27" w:rsidP="000062A0">
            <w:pPr>
              <w:rPr>
                <w:rFonts w:cs="Arial"/>
              </w:rPr>
            </w:pPr>
            <w:r w:rsidRPr="00DE6C27">
              <w:rPr>
                <w:rFonts w:cs="Arial"/>
              </w:rPr>
              <w:t>The percentage of the network services that are in conformity with Commission Regulation (EC) No 976/2009 as regards the Network Services</w:t>
            </w:r>
          </w:p>
        </w:tc>
      </w:tr>
      <w:tr w:rsidR="00DE6C27" w14:paraId="2BFE168C" w14:textId="77777777" w:rsidTr="000062A0">
        <w:tc>
          <w:tcPr>
            <w:tcW w:w="1555" w:type="dxa"/>
          </w:tcPr>
          <w:p w14:paraId="0069417E" w14:textId="77777777" w:rsidR="00DE6C27" w:rsidRDefault="00DE6C27" w:rsidP="000062A0">
            <w:pPr>
              <w:rPr>
                <w:rFonts w:cs="Arial"/>
              </w:rPr>
            </w:pPr>
            <w:r w:rsidRPr="00C25C7C">
              <w:rPr>
                <w:rFonts w:cs="Arial"/>
              </w:rPr>
              <w:t>Description:</w:t>
            </w:r>
          </w:p>
        </w:tc>
        <w:tc>
          <w:tcPr>
            <w:tcW w:w="7455" w:type="dxa"/>
          </w:tcPr>
          <w:p w14:paraId="61023026" w14:textId="0F098A9B" w:rsidR="00DE6C27" w:rsidRDefault="00DE6C27" w:rsidP="000062A0">
            <w:pPr>
              <w:rPr>
                <w:rFonts w:cs="Arial"/>
              </w:rPr>
            </w:pPr>
            <w:r w:rsidRPr="00DE6C27">
              <w:rPr>
                <w:rFonts w:cs="Arial"/>
              </w:rPr>
              <w:t>The number of network services which are in conformity with Regulation (EC) No 976/2009 multiplied by a hundred and divided by the total number of network services</w:t>
            </w:r>
          </w:p>
        </w:tc>
      </w:tr>
      <w:tr w:rsidR="00DE6C27" w14:paraId="0B7A8A06" w14:textId="77777777" w:rsidTr="000062A0">
        <w:tc>
          <w:tcPr>
            <w:tcW w:w="1555" w:type="dxa"/>
          </w:tcPr>
          <w:p w14:paraId="4DB3BA92" w14:textId="77777777" w:rsidR="00DE6C27" w:rsidRDefault="00DE6C27" w:rsidP="000062A0">
            <w:pPr>
              <w:rPr>
                <w:rFonts w:cs="Arial"/>
              </w:rPr>
            </w:pPr>
            <w:r>
              <w:rPr>
                <w:rFonts w:cs="Arial"/>
              </w:rPr>
              <w:t>Calculation method</w:t>
            </w:r>
          </w:p>
        </w:tc>
        <w:tc>
          <w:tcPr>
            <w:tcW w:w="7455" w:type="dxa"/>
          </w:tcPr>
          <w:p w14:paraId="7DB90846" w14:textId="69A9E0DE" w:rsidR="00DE6C27" w:rsidRDefault="00DE6C27" w:rsidP="000062A0">
            <w:pPr>
              <w:rPr>
                <w:rFonts w:cs="Arial"/>
              </w:rPr>
            </w:pPr>
            <w:r w:rsidRPr="00DE6C27">
              <w:rPr>
                <w:rFonts w:cs="Arial"/>
              </w:rPr>
              <w:t>For this indicator only discovery, view, download and transformation network services will be taken into account. The identification of the type of network services will be done based on the "spatial data service type" metadata element when service metadata is provided</w:t>
            </w:r>
            <w:r w:rsidR="005233DE">
              <w:rPr>
                <w:rFonts w:cs="Arial"/>
              </w:rPr>
              <w:t>,</w:t>
            </w:r>
            <w:r w:rsidRPr="00DE6C27">
              <w:rPr>
                <w:rFonts w:cs="Arial"/>
              </w:rPr>
              <w:t xml:space="preserve"> based on the definition of the service </w:t>
            </w:r>
            <w:r w:rsidR="00620E23">
              <w:rPr>
                <w:rFonts w:cs="Arial"/>
              </w:rPr>
              <w:t xml:space="preserve">access </w:t>
            </w:r>
            <w:r w:rsidRPr="00DE6C27">
              <w:rPr>
                <w:rFonts w:cs="Arial"/>
              </w:rPr>
              <w:t xml:space="preserve">points if these service </w:t>
            </w:r>
            <w:r w:rsidR="00620E23">
              <w:rPr>
                <w:rFonts w:cs="Arial"/>
              </w:rPr>
              <w:t xml:space="preserve">access </w:t>
            </w:r>
            <w:r w:rsidRPr="00DE6C27">
              <w:rPr>
                <w:rFonts w:cs="Arial"/>
              </w:rPr>
              <w:t>points are defined in data set metadata</w:t>
            </w:r>
            <w:r w:rsidR="005233DE">
              <w:rPr>
                <w:rFonts w:cs="Arial"/>
              </w:rPr>
              <w:t xml:space="preserve"> and based on the registered service endpoints for discovery network services</w:t>
            </w:r>
            <w:r w:rsidRPr="00DE6C27">
              <w:rPr>
                <w:rFonts w:cs="Arial"/>
              </w:rPr>
              <w:t>.</w:t>
            </w:r>
            <w:r w:rsidR="00620E23">
              <w:rPr>
                <w:rFonts w:cs="Arial"/>
              </w:rPr>
              <w:t xml:space="preserve"> </w:t>
            </w:r>
            <w:r w:rsidR="005233DE">
              <w:rPr>
                <w:rFonts w:cs="Arial"/>
              </w:rPr>
              <w:t xml:space="preserve">The conformity with </w:t>
            </w:r>
            <w:r w:rsidR="005233DE" w:rsidRPr="00620E23">
              <w:rPr>
                <w:rFonts w:cs="Arial"/>
              </w:rPr>
              <w:t>Regulation (EU) No 976/2009</w:t>
            </w:r>
            <w:r w:rsidR="005233DE">
              <w:rPr>
                <w:rFonts w:cs="Arial"/>
              </w:rPr>
              <w:t xml:space="preserve"> should be expressed </w:t>
            </w:r>
            <w:r w:rsidR="005233DE" w:rsidRPr="00620E23">
              <w:rPr>
                <w:rFonts w:cs="Arial"/>
              </w:rPr>
              <w:t>in the "Conformity" metadata element</w:t>
            </w:r>
            <w:r w:rsidR="005233DE">
              <w:rPr>
                <w:rFonts w:cs="Arial"/>
              </w:rPr>
              <w:t>.</w:t>
            </w:r>
            <w:r w:rsidR="00620E23" w:rsidRPr="00620E23">
              <w:rPr>
                <w:rFonts w:cs="Arial"/>
              </w:rPr>
              <w:t xml:space="preserve"> The Commission will provide a code list with possible conformity statements in the INSPIRE Register.</w:t>
            </w:r>
          </w:p>
          <w:p w14:paraId="005575D3" w14:textId="14594EF8" w:rsidR="005004A3" w:rsidRDefault="005004A3" w:rsidP="000062A0">
            <w:pPr>
              <w:rPr>
                <w:rFonts w:cs="Arial"/>
              </w:rPr>
            </w:pPr>
            <w:r>
              <w:rPr>
                <w:rFonts w:cs="Arial"/>
              </w:rPr>
              <w:t xml:space="preserve">Member States are encouraged to use the INSPIRE reference validator for testing the conformity </w:t>
            </w:r>
            <w:r w:rsidRPr="00620E23">
              <w:rPr>
                <w:rFonts w:cs="Arial"/>
              </w:rPr>
              <w:t xml:space="preserve">of their </w:t>
            </w:r>
            <w:r>
              <w:rPr>
                <w:rFonts w:cs="Arial"/>
              </w:rPr>
              <w:t>network services</w:t>
            </w:r>
            <w:r w:rsidRPr="00620E23">
              <w:rPr>
                <w:rFonts w:cs="Arial"/>
              </w:rPr>
              <w:t>.</w:t>
            </w:r>
          </w:p>
          <w:p w14:paraId="3ED84FCF" w14:textId="30BCEF13" w:rsidR="00DE6C27" w:rsidRDefault="00A53AAD" w:rsidP="00C6730C">
            <w:pPr>
              <w:rPr>
                <w:rFonts w:cs="Arial"/>
              </w:rPr>
            </w:pPr>
            <w:r w:rsidRPr="00A53AAD">
              <w:rPr>
                <w:rFonts w:cs="Arial"/>
              </w:rPr>
              <w:lastRenderedPageBreak/>
              <w:t xml:space="preserve">At the EU level, this indicator is calculated as the </w:t>
            </w:r>
            <w:r w:rsidR="00C6730C">
              <w:rPr>
                <w:rFonts w:cs="Arial"/>
              </w:rPr>
              <w:t>average</w:t>
            </w:r>
            <w:r w:rsidRPr="00A53AAD">
              <w:rPr>
                <w:rFonts w:cs="Arial"/>
              </w:rPr>
              <w:t xml:space="preserve"> of all Member State</w:t>
            </w:r>
            <w:r w:rsidR="00C6730C">
              <w:rPr>
                <w:rFonts w:cs="Arial"/>
              </w:rPr>
              <w:t>s</w:t>
            </w:r>
            <w:r w:rsidRPr="00A53AAD">
              <w:rPr>
                <w:rFonts w:cs="Arial"/>
              </w:rPr>
              <w:t xml:space="preserve">.  </w:t>
            </w:r>
          </w:p>
        </w:tc>
      </w:tr>
    </w:tbl>
    <w:p w14:paraId="770DC924" w14:textId="01500C7F" w:rsidR="00DE6C27" w:rsidRDefault="00DE6C27" w:rsidP="00DE6C27">
      <w:pPr>
        <w:rPr>
          <w:rFonts w:cs="Arial"/>
        </w:rPr>
      </w:pPr>
    </w:p>
    <w:tbl>
      <w:tblPr>
        <w:tblStyle w:val="TableGrid"/>
        <w:tblW w:w="0" w:type="auto"/>
        <w:tblLayout w:type="fixed"/>
        <w:tblLook w:val="04A0" w:firstRow="1" w:lastRow="0" w:firstColumn="1" w:lastColumn="0" w:noHBand="0" w:noVBand="1"/>
      </w:tblPr>
      <w:tblGrid>
        <w:gridCol w:w="1555"/>
        <w:gridCol w:w="7455"/>
      </w:tblGrid>
      <w:tr w:rsidR="00620E23" w:rsidRPr="00F04EB8" w14:paraId="6C383282" w14:textId="77777777" w:rsidTr="000062A0">
        <w:tc>
          <w:tcPr>
            <w:tcW w:w="1555" w:type="dxa"/>
          </w:tcPr>
          <w:p w14:paraId="28A138AD" w14:textId="77777777" w:rsidR="00620E23" w:rsidRPr="00F04EB8" w:rsidRDefault="00620E23" w:rsidP="000062A0">
            <w:pPr>
              <w:rPr>
                <w:rFonts w:cs="Arial"/>
                <w:b/>
              </w:rPr>
            </w:pPr>
            <w:r w:rsidRPr="00F04EB8">
              <w:rPr>
                <w:rFonts w:cs="Arial"/>
                <w:b/>
              </w:rPr>
              <w:t>Indicator:</w:t>
            </w:r>
          </w:p>
        </w:tc>
        <w:tc>
          <w:tcPr>
            <w:tcW w:w="7455" w:type="dxa"/>
          </w:tcPr>
          <w:p w14:paraId="4C080F1A" w14:textId="61781562" w:rsidR="00620E23" w:rsidRPr="00F04EB8" w:rsidRDefault="00620E23" w:rsidP="000062A0">
            <w:pPr>
              <w:rPr>
                <w:rFonts w:cs="Arial"/>
                <w:b/>
              </w:rPr>
            </w:pPr>
            <w:r>
              <w:rPr>
                <w:rFonts w:cs="Arial"/>
                <w:b/>
              </w:rPr>
              <w:t>NSi4.1</w:t>
            </w:r>
          </w:p>
        </w:tc>
      </w:tr>
      <w:tr w:rsidR="00620E23" w14:paraId="42A20F81" w14:textId="77777777" w:rsidTr="000062A0">
        <w:tc>
          <w:tcPr>
            <w:tcW w:w="1555" w:type="dxa"/>
          </w:tcPr>
          <w:p w14:paraId="42F68BCE" w14:textId="77777777" w:rsidR="00620E23" w:rsidRDefault="00620E23" w:rsidP="000062A0">
            <w:pPr>
              <w:rPr>
                <w:rFonts w:cs="Arial"/>
              </w:rPr>
            </w:pPr>
            <w:r w:rsidRPr="00C25C7C">
              <w:rPr>
                <w:rFonts w:cs="Arial"/>
              </w:rPr>
              <w:t>Definition:</w:t>
            </w:r>
          </w:p>
        </w:tc>
        <w:tc>
          <w:tcPr>
            <w:tcW w:w="7455" w:type="dxa"/>
          </w:tcPr>
          <w:p w14:paraId="075E2AF1" w14:textId="4907C369" w:rsidR="00620E23" w:rsidRDefault="00620E23" w:rsidP="00620E23">
            <w:pPr>
              <w:rPr>
                <w:rFonts w:cs="Arial"/>
              </w:rPr>
            </w:pPr>
            <w:r w:rsidRPr="00DE6C27">
              <w:rPr>
                <w:rFonts w:cs="Arial"/>
              </w:rPr>
              <w:t xml:space="preserve">The percentage of the </w:t>
            </w:r>
            <w:r>
              <w:rPr>
                <w:rFonts w:cs="Arial"/>
              </w:rPr>
              <w:t>discovery</w:t>
            </w:r>
            <w:r w:rsidRPr="00DE6C27">
              <w:rPr>
                <w:rFonts w:cs="Arial"/>
              </w:rPr>
              <w:t xml:space="preserve"> services that are in conformity with Commission Regulation (EC) No 976/2009 as regards the Network Services</w:t>
            </w:r>
          </w:p>
        </w:tc>
      </w:tr>
      <w:tr w:rsidR="00620E23" w14:paraId="29F75935" w14:textId="77777777" w:rsidTr="000062A0">
        <w:tc>
          <w:tcPr>
            <w:tcW w:w="1555" w:type="dxa"/>
          </w:tcPr>
          <w:p w14:paraId="5E39AB4B" w14:textId="77777777" w:rsidR="00620E23" w:rsidRDefault="00620E23" w:rsidP="000062A0">
            <w:pPr>
              <w:rPr>
                <w:rFonts w:cs="Arial"/>
              </w:rPr>
            </w:pPr>
            <w:r w:rsidRPr="00C25C7C">
              <w:rPr>
                <w:rFonts w:cs="Arial"/>
              </w:rPr>
              <w:t>Description:</w:t>
            </w:r>
          </w:p>
        </w:tc>
        <w:tc>
          <w:tcPr>
            <w:tcW w:w="7455" w:type="dxa"/>
          </w:tcPr>
          <w:p w14:paraId="656D3782" w14:textId="35B445CA" w:rsidR="00620E23" w:rsidRDefault="00620E23" w:rsidP="00620E23">
            <w:pPr>
              <w:rPr>
                <w:rFonts w:cs="Arial"/>
              </w:rPr>
            </w:pPr>
            <w:r w:rsidRPr="00DE6C27">
              <w:rPr>
                <w:rFonts w:cs="Arial"/>
              </w:rPr>
              <w:t xml:space="preserve">The number of </w:t>
            </w:r>
            <w:r>
              <w:rPr>
                <w:rFonts w:cs="Arial"/>
              </w:rPr>
              <w:t>discovery</w:t>
            </w:r>
            <w:r w:rsidRPr="00DE6C27">
              <w:rPr>
                <w:rFonts w:cs="Arial"/>
              </w:rPr>
              <w:t xml:space="preserve"> services which are in conformity with Regulation (EC) No 976/2009 multiplied by a hundred and divide</w:t>
            </w:r>
            <w:r>
              <w:rPr>
                <w:rFonts w:cs="Arial"/>
              </w:rPr>
              <w:t>d by the total number of discovery</w:t>
            </w:r>
            <w:r w:rsidRPr="00DE6C27">
              <w:rPr>
                <w:rFonts w:cs="Arial"/>
              </w:rPr>
              <w:t xml:space="preserve"> services</w:t>
            </w:r>
          </w:p>
        </w:tc>
      </w:tr>
      <w:tr w:rsidR="00620E23" w14:paraId="136D3313" w14:textId="77777777" w:rsidTr="000062A0">
        <w:tc>
          <w:tcPr>
            <w:tcW w:w="1555" w:type="dxa"/>
          </w:tcPr>
          <w:p w14:paraId="11261E13" w14:textId="77777777" w:rsidR="00620E23" w:rsidRDefault="00620E23" w:rsidP="000062A0">
            <w:pPr>
              <w:rPr>
                <w:rFonts w:cs="Arial"/>
              </w:rPr>
            </w:pPr>
            <w:r>
              <w:rPr>
                <w:rFonts w:cs="Arial"/>
              </w:rPr>
              <w:t>Calculation method</w:t>
            </w:r>
          </w:p>
        </w:tc>
        <w:tc>
          <w:tcPr>
            <w:tcW w:w="7455" w:type="dxa"/>
          </w:tcPr>
          <w:p w14:paraId="7E5C6DE1" w14:textId="13C89C45" w:rsidR="00620E23" w:rsidRDefault="00620E23" w:rsidP="000062A0">
            <w:pPr>
              <w:rPr>
                <w:rFonts w:cs="Arial"/>
              </w:rPr>
            </w:pPr>
            <w:r w:rsidRPr="00DE6C27">
              <w:rPr>
                <w:rFonts w:cs="Arial"/>
              </w:rPr>
              <w:t>For</w:t>
            </w:r>
            <w:r>
              <w:rPr>
                <w:rFonts w:cs="Arial"/>
              </w:rPr>
              <w:t xml:space="preserve"> this indicator only discovery </w:t>
            </w:r>
            <w:r w:rsidRPr="00DE6C27">
              <w:rPr>
                <w:rFonts w:cs="Arial"/>
              </w:rPr>
              <w:t xml:space="preserve">network services </w:t>
            </w:r>
            <w:r w:rsidR="005233DE">
              <w:rPr>
                <w:rFonts w:cs="Arial"/>
              </w:rPr>
              <w:t xml:space="preserve">that are registered by the Member State </w:t>
            </w:r>
            <w:r w:rsidRPr="00DE6C27">
              <w:rPr>
                <w:rFonts w:cs="Arial"/>
              </w:rPr>
              <w:t>will be taken into account</w:t>
            </w:r>
            <w:r w:rsidR="005233DE">
              <w:rPr>
                <w:rFonts w:cs="Arial"/>
              </w:rPr>
              <w:t>.</w:t>
            </w:r>
            <w:r>
              <w:rPr>
                <w:rFonts w:cs="Arial"/>
              </w:rPr>
              <w:t xml:space="preserve"> </w:t>
            </w:r>
            <w:r w:rsidR="005233DE">
              <w:rPr>
                <w:rFonts w:cs="Arial"/>
              </w:rPr>
              <w:t xml:space="preserve">The conformity with </w:t>
            </w:r>
            <w:r w:rsidR="005233DE" w:rsidRPr="00620E23">
              <w:rPr>
                <w:rFonts w:cs="Arial"/>
              </w:rPr>
              <w:t>Regulation (EU) No 976/2009</w:t>
            </w:r>
            <w:r w:rsidR="005233DE">
              <w:rPr>
                <w:rFonts w:cs="Arial"/>
              </w:rPr>
              <w:t xml:space="preserve"> should be expressed</w:t>
            </w:r>
            <w:r w:rsidRPr="00620E23">
              <w:rPr>
                <w:rFonts w:cs="Arial"/>
              </w:rPr>
              <w:t xml:space="preserve"> in the "Conformity" metadata element</w:t>
            </w:r>
            <w:r>
              <w:rPr>
                <w:rFonts w:cs="Arial"/>
              </w:rPr>
              <w:t>.</w:t>
            </w:r>
            <w:r w:rsidRPr="00620E23">
              <w:rPr>
                <w:rFonts w:cs="Arial"/>
              </w:rPr>
              <w:t xml:space="preserve"> The Commission will provide a code list with possible conformity statements in the INSPIRE Register.</w:t>
            </w:r>
          </w:p>
          <w:p w14:paraId="3AF04CAC" w14:textId="223FB25F" w:rsidR="00620E23" w:rsidRDefault="005004A3" w:rsidP="000062A0">
            <w:pPr>
              <w:rPr>
                <w:rFonts w:cs="Arial"/>
              </w:rPr>
            </w:pPr>
            <w:r>
              <w:rPr>
                <w:rFonts w:cs="Arial"/>
              </w:rPr>
              <w:t xml:space="preserve">Member States are encouraged to use the INSPIRE reference validator for testing the conformity </w:t>
            </w:r>
            <w:r w:rsidRPr="00620E23">
              <w:rPr>
                <w:rFonts w:cs="Arial"/>
              </w:rPr>
              <w:t xml:space="preserve">of their </w:t>
            </w:r>
            <w:r>
              <w:rPr>
                <w:rFonts w:cs="Arial"/>
              </w:rPr>
              <w:t>network services</w:t>
            </w:r>
            <w:r w:rsidRPr="00620E23">
              <w:rPr>
                <w:rFonts w:cs="Arial"/>
              </w:rPr>
              <w:t>.</w:t>
            </w:r>
          </w:p>
          <w:p w14:paraId="2FBA26BF" w14:textId="523C2D87" w:rsidR="00620E23" w:rsidRDefault="00A53AAD" w:rsidP="00C6730C">
            <w:pPr>
              <w:rPr>
                <w:rFonts w:cs="Arial"/>
              </w:rPr>
            </w:pPr>
            <w:r w:rsidRPr="00A53AAD">
              <w:rPr>
                <w:rFonts w:cs="Arial"/>
              </w:rPr>
              <w:t xml:space="preserve">At the EU level, this indicator is calculated as the </w:t>
            </w:r>
            <w:r w:rsidR="00C6730C">
              <w:rPr>
                <w:rFonts w:cs="Arial"/>
              </w:rPr>
              <w:t>average</w:t>
            </w:r>
            <w:r w:rsidRPr="00A53AAD">
              <w:rPr>
                <w:rFonts w:cs="Arial"/>
              </w:rPr>
              <w:t xml:space="preserve"> of all Member State</w:t>
            </w:r>
            <w:r w:rsidR="00C6730C">
              <w:rPr>
                <w:rFonts w:cs="Arial"/>
              </w:rPr>
              <w:t>s</w:t>
            </w:r>
            <w:r w:rsidRPr="00A53AAD">
              <w:rPr>
                <w:rFonts w:cs="Arial"/>
              </w:rPr>
              <w:t xml:space="preserve">.  </w:t>
            </w:r>
          </w:p>
        </w:tc>
      </w:tr>
    </w:tbl>
    <w:p w14:paraId="0BBB1E21" w14:textId="67A81249" w:rsidR="00620E23" w:rsidRDefault="00620E23" w:rsidP="00620E23">
      <w:pPr>
        <w:rPr>
          <w:rFonts w:cs="Arial"/>
        </w:rPr>
      </w:pPr>
    </w:p>
    <w:tbl>
      <w:tblPr>
        <w:tblStyle w:val="TableGrid"/>
        <w:tblW w:w="0" w:type="auto"/>
        <w:tblLayout w:type="fixed"/>
        <w:tblLook w:val="04A0" w:firstRow="1" w:lastRow="0" w:firstColumn="1" w:lastColumn="0" w:noHBand="0" w:noVBand="1"/>
      </w:tblPr>
      <w:tblGrid>
        <w:gridCol w:w="1555"/>
        <w:gridCol w:w="7455"/>
      </w:tblGrid>
      <w:tr w:rsidR="00620E23" w:rsidRPr="00F04EB8" w14:paraId="72B515A4" w14:textId="77777777" w:rsidTr="000062A0">
        <w:tc>
          <w:tcPr>
            <w:tcW w:w="1555" w:type="dxa"/>
          </w:tcPr>
          <w:p w14:paraId="247F99A1" w14:textId="77777777" w:rsidR="00620E23" w:rsidRPr="00F04EB8" w:rsidRDefault="00620E23" w:rsidP="000062A0">
            <w:pPr>
              <w:rPr>
                <w:rFonts w:cs="Arial"/>
                <w:b/>
              </w:rPr>
            </w:pPr>
            <w:r w:rsidRPr="00F04EB8">
              <w:rPr>
                <w:rFonts w:cs="Arial"/>
                <w:b/>
              </w:rPr>
              <w:t>Indicator:</w:t>
            </w:r>
          </w:p>
        </w:tc>
        <w:tc>
          <w:tcPr>
            <w:tcW w:w="7455" w:type="dxa"/>
          </w:tcPr>
          <w:p w14:paraId="4E356D76" w14:textId="63E7116F" w:rsidR="00620E23" w:rsidRPr="00F04EB8" w:rsidRDefault="00620E23" w:rsidP="000062A0">
            <w:pPr>
              <w:rPr>
                <w:rFonts w:cs="Arial"/>
                <w:b/>
              </w:rPr>
            </w:pPr>
            <w:r>
              <w:rPr>
                <w:rFonts w:cs="Arial"/>
                <w:b/>
              </w:rPr>
              <w:t>NSi4.2</w:t>
            </w:r>
          </w:p>
        </w:tc>
      </w:tr>
      <w:tr w:rsidR="00620E23" w14:paraId="473FBB5C" w14:textId="77777777" w:rsidTr="000062A0">
        <w:tc>
          <w:tcPr>
            <w:tcW w:w="1555" w:type="dxa"/>
          </w:tcPr>
          <w:p w14:paraId="280C2340" w14:textId="77777777" w:rsidR="00620E23" w:rsidRDefault="00620E23" w:rsidP="000062A0">
            <w:pPr>
              <w:rPr>
                <w:rFonts w:cs="Arial"/>
              </w:rPr>
            </w:pPr>
            <w:r w:rsidRPr="00C25C7C">
              <w:rPr>
                <w:rFonts w:cs="Arial"/>
              </w:rPr>
              <w:t>Definition:</w:t>
            </w:r>
          </w:p>
        </w:tc>
        <w:tc>
          <w:tcPr>
            <w:tcW w:w="7455" w:type="dxa"/>
          </w:tcPr>
          <w:p w14:paraId="74B10CAA" w14:textId="49DCD812" w:rsidR="00620E23" w:rsidRDefault="00620E23" w:rsidP="00620E23">
            <w:pPr>
              <w:rPr>
                <w:rFonts w:cs="Arial"/>
              </w:rPr>
            </w:pPr>
            <w:r w:rsidRPr="00DE6C27">
              <w:rPr>
                <w:rFonts w:cs="Arial"/>
              </w:rPr>
              <w:t xml:space="preserve">The percentage of the </w:t>
            </w:r>
            <w:r>
              <w:rPr>
                <w:rFonts w:cs="Arial"/>
              </w:rPr>
              <w:t>view</w:t>
            </w:r>
            <w:r w:rsidRPr="00DE6C27">
              <w:rPr>
                <w:rFonts w:cs="Arial"/>
              </w:rPr>
              <w:t xml:space="preserve"> services that are in conformity with Commission Regulation (EC) No 976/2009 as regards the Network Services</w:t>
            </w:r>
          </w:p>
        </w:tc>
      </w:tr>
      <w:tr w:rsidR="00620E23" w14:paraId="68836192" w14:textId="77777777" w:rsidTr="000062A0">
        <w:tc>
          <w:tcPr>
            <w:tcW w:w="1555" w:type="dxa"/>
          </w:tcPr>
          <w:p w14:paraId="73039DF2" w14:textId="77777777" w:rsidR="00620E23" w:rsidRDefault="00620E23" w:rsidP="000062A0">
            <w:pPr>
              <w:rPr>
                <w:rFonts w:cs="Arial"/>
              </w:rPr>
            </w:pPr>
            <w:r w:rsidRPr="00C25C7C">
              <w:rPr>
                <w:rFonts w:cs="Arial"/>
              </w:rPr>
              <w:t>Description:</w:t>
            </w:r>
          </w:p>
        </w:tc>
        <w:tc>
          <w:tcPr>
            <w:tcW w:w="7455" w:type="dxa"/>
          </w:tcPr>
          <w:p w14:paraId="6CCF51D6" w14:textId="18F4938E" w:rsidR="00620E23" w:rsidRDefault="00620E23" w:rsidP="000062A0">
            <w:pPr>
              <w:rPr>
                <w:rFonts w:cs="Arial"/>
              </w:rPr>
            </w:pPr>
            <w:r w:rsidRPr="00DE6C27">
              <w:rPr>
                <w:rFonts w:cs="Arial"/>
              </w:rPr>
              <w:t xml:space="preserve">The number of </w:t>
            </w:r>
            <w:r>
              <w:rPr>
                <w:rFonts w:cs="Arial"/>
              </w:rPr>
              <w:t>view</w:t>
            </w:r>
            <w:r w:rsidRPr="00DE6C27">
              <w:rPr>
                <w:rFonts w:cs="Arial"/>
              </w:rPr>
              <w:t xml:space="preserve"> services which are in conformity with Regulation (EC) No 976/2009 multiplied by a hundred and divide</w:t>
            </w:r>
            <w:r>
              <w:rPr>
                <w:rFonts w:cs="Arial"/>
              </w:rPr>
              <w:t>d by the total number of view</w:t>
            </w:r>
            <w:r w:rsidRPr="00DE6C27">
              <w:rPr>
                <w:rFonts w:cs="Arial"/>
              </w:rPr>
              <w:t xml:space="preserve"> services</w:t>
            </w:r>
          </w:p>
        </w:tc>
      </w:tr>
      <w:tr w:rsidR="00620E23" w14:paraId="14D89717" w14:textId="77777777" w:rsidTr="000062A0">
        <w:tc>
          <w:tcPr>
            <w:tcW w:w="1555" w:type="dxa"/>
          </w:tcPr>
          <w:p w14:paraId="13430E5C" w14:textId="77777777" w:rsidR="00620E23" w:rsidRDefault="00620E23" w:rsidP="000062A0">
            <w:pPr>
              <w:rPr>
                <w:rFonts w:cs="Arial"/>
              </w:rPr>
            </w:pPr>
            <w:r>
              <w:rPr>
                <w:rFonts w:cs="Arial"/>
              </w:rPr>
              <w:t>Calculation method</w:t>
            </w:r>
          </w:p>
        </w:tc>
        <w:tc>
          <w:tcPr>
            <w:tcW w:w="7455" w:type="dxa"/>
          </w:tcPr>
          <w:p w14:paraId="0E8A9D9E" w14:textId="53BEA71E" w:rsidR="00620E23" w:rsidRDefault="00620E23" w:rsidP="000062A0">
            <w:pPr>
              <w:rPr>
                <w:rFonts w:cs="Arial"/>
              </w:rPr>
            </w:pPr>
            <w:r w:rsidRPr="00DE6C27">
              <w:rPr>
                <w:rFonts w:cs="Arial"/>
              </w:rPr>
              <w:t>For</w:t>
            </w:r>
            <w:r>
              <w:rPr>
                <w:rFonts w:cs="Arial"/>
              </w:rPr>
              <w:t xml:space="preserve"> this indicator only view </w:t>
            </w:r>
            <w:r w:rsidRPr="00DE6C27">
              <w:rPr>
                <w:rFonts w:cs="Arial"/>
              </w:rPr>
              <w:t xml:space="preserve">network services will be taken into account. The identification of the type of network services will be done based on the "spatial data service type" metadata element when service metadata is provided or based on the definition of the service </w:t>
            </w:r>
            <w:r>
              <w:rPr>
                <w:rFonts w:cs="Arial"/>
              </w:rPr>
              <w:t xml:space="preserve">access </w:t>
            </w:r>
            <w:r w:rsidRPr="00DE6C27">
              <w:rPr>
                <w:rFonts w:cs="Arial"/>
              </w:rPr>
              <w:t xml:space="preserve">points if these service </w:t>
            </w:r>
            <w:r>
              <w:rPr>
                <w:rFonts w:cs="Arial"/>
              </w:rPr>
              <w:t xml:space="preserve">access </w:t>
            </w:r>
            <w:r w:rsidRPr="00DE6C27">
              <w:rPr>
                <w:rFonts w:cs="Arial"/>
              </w:rPr>
              <w:t>points are defined in data set metadata.</w:t>
            </w:r>
            <w:r>
              <w:rPr>
                <w:rFonts w:cs="Arial"/>
              </w:rPr>
              <w:t xml:space="preserve"> S</w:t>
            </w:r>
            <w:r w:rsidRPr="00620E23">
              <w:rPr>
                <w:rFonts w:cs="Arial"/>
              </w:rPr>
              <w:t xml:space="preserve">tatement </w:t>
            </w:r>
            <w:r>
              <w:rPr>
                <w:rFonts w:cs="Arial"/>
              </w:rPr>
              <w:t xml:space="preserve">in metadata should </w:t>
            </w:r>
            <w:r w:rsidRPr="00620E23">
              <w:rPr>
                <w:rFonts w:cs="Arial"/>
              </w:rPr>
              <w:t>express</w:t>
            </w:r>
            <w:r w:rsidR="00F5715F">
              <w:rPr>
                <w:rFonts w:cs="Arial"/>
              </w:rPr>
              <w:t xml:space="preserve"> the conformity with</w:t>
            </w:r>
            <w:r w:rsidRPr="00620E23">
              <w:rPr>
                <w:rFonts w:cs="Arial"/>
              </w:rPr>
              <w:t xml:space="preserve"> Regulation (EU) No 976/2009 in the "Conformity" metadata element</w:t>
            </w:r>
            <w:r>
              <w:rPr>
                <w:rFonts w:cs="Arial"/>
              </w:rPr>
              <w:t>.</w:t>
            </w:r>
            <w:r w:rsidRPr="00620E23">
              <w:rPr>
                <w:rFonts w:cs="Arial"/>
              </w:rPr>
              <w:t xml:space="preserve"> The Commission will provide a code list with possible conformity statements in the INSPIRE Register.</w:t>
            </w:r>
          </w:p>
          <w:p w14:paraId="76CD60BB" w14:textId="649D59DF" w:rsidR="00620E23" w:rsidRDefault="005004A3" w:rsidP="000062A0">
            <w:pPr>
              <w:rPr>
                <w:rFonts w:cs="Arial"/>
              </w:rPr>
            </w:pPr>
            <w:r>
              <w:rPr>
                <w:rFonts w:cs="Arial"/>
              </w:rPr>
              <w:t xml:space="preserve">Member States are encouraged to use the INSPIRE reference validator for testing the conformity </w:t>
            </w:r>
            <w:r w:rsidRPr="00620E23">
              <w:rPr>
                <w:rFonts w:cs="Arial"/>
              </w:rPr>
              <w:t xml:space="preserve">of their </w:t>
            </w:r>
            <w:r>
              <w:rPr>
                <w:rFonts w:cs="Arial"/>
              </w:rPr>
              <w:t>network services</w:t>
            </w:r>
            <w:r w:rsidRPr="00620E23">
              <w:rPr>
                <w:rFonts w:cs="Arial"/>
              </w:rPr>
              <w:t>.</w:t>
            </w:r>
          </w:p>
          <w:p w14:paraId="4004D7D3" w14:textId="425FC993" w:rsidR="00620E23" w:rsidRDefault="00A53AAD" w:rsidP="00C6730C">
            <w:pPr>
              <w:rPr>
                <w:rFonts w:cs="Arial"/>
              </w:rPr>
            </w:pPr>
            <w:r w:rsidRPr="00A53AAD">
              <w:rPr>
                <w:rFonts w:cs="Arial"/>
              </w:rPr>
              <w:lastRenderedPageBreak/>
              <w:t xml:space="preserve">At the EU level, this indicator is calculated as the </w:t>
            </w:r>
            <w:r w:rsidR="00C6730C">
              <w:rPr>
                <w:rFonts w:cs="Arial"/>
              </w:rPr>
              <w:t>average</w:t>
            </w:r>
            <w:r w:rsidRPr="00A53AAD">
              <w:rPr>
                <w:rFonts w:cs="Arial"/>
              </w:rPr>
              <w:t xml:space="preserve"> of all Member State</w:t>
            </w:r>
            <w:r w:rsidR="00C6730C">
              <w:rPr>
                <w:rFonts w:cs="Arial"/>
              </w:rPr>
              <w:t>s</w:t>
            </w:r>
            <w:r w:rsidRPr="00A53AAD">
              <w:rPr>
                <w:rFonts w:cs="Arial"/>
              </w:rPr>
              <w:t xml:space="preserve">.  </w:t>
            </w:r>
          </w:p>
        </w:tc>
      </w:tr>
    </w:tbl>
    <w:p w14:paraId="49663A0C" w14:textId="2BC74F3A" w:rsidR="00620E23" w:rsidRDefault="00620E23" w:rsidP="00620E23">
      <w:pPr>
        <w:rPr>
          <w:rFonts w:cs="Arial"/>
        </w:rPr>
      </w:pPr>
    </w:p>
    <w:tbl>
      <w:tblPr>
        <w:tblStyle w:val="TableGrid"/>
        <w:tblW w:w="0" w:type="auto"/>
        <w:tblLayout w:type="fixed"/>
        <w:tblLook w:val="04A0" w:firstRow="1" w:lastRow="0" w:firstColumn="1" w:lastColumn="0" w:noHBand="0" w:noVBand="1"/>
      </w:tblPr>
      <w:tblGrid>
        <w:gridCol w:w="1555"/>
        <w:gridCol w:w="7455"/>
      </w:tblGrid>
      <w:tr w:rsidR="00620E23" w:rsidRPr="00F04EB8" w14:paraId="27CAE6B1" w14:textId="77777777" w:rsidTr="000062A0">
        <w:tc>
          <w:tcPr>
            <w:tcW w:w="1555" w:type="dxa"/>
          </w:tcPr>
          <w:p w14:paraId="71CDB666" w14:textId="77777777" w:rsidR="00620E23" w:rsidRPr="00F04EB8" w:rsidRDefault="00620E23" w:rsidP="000062A0">
            <w:pPr>
              <w:rPr>
                <w:rFonts w:cs="Arial"/>
                <w:b/>
              </w:rPr>
            </w:pPr>
            <w:r w:rsidRPr="00F04EB8">
              <w:rPr>
                <w:rFonts w:cs="Arial"/>
                <w:b/>
              </w:rPr>
              <w:t>Indicator:</w:t>
            </w:r>
          </w:p>
        </w:tc>
        <w:tc>
          <w:tcPr>
            <w:tcW w:w="7455" w:type="dxa"/>
          </w:tcPr>
          <w:p w14:paraId="7BDB514D" w14:textId="65DF4508" w:rsidR="00620E23" w:rsidRPr="00F04EB8" w:rsidRDefault="00620E23" w:rsidP="000062A0">
            <w:pPr>
              <w:rPr>
                <w:rFonts w:cs="Arial"/>
                <w:b/>
              </w:rPr>
            </w:pPr>
            <w:r>
              <w:rPr>
                <w:rFonts w:cs="Arial"/>
                <w:b/>
              </w:rPr>
              <w:t>NSi4.3</w:t>
            </w:r>
          </w:p>
        </w:tc>
      </w:tr>
      <w:tr w:rsidR="00620E23" w14:paraId="1D07B4C3" w14:textId="77777777" w:rsidTr="000062A0">
        <w:tc>
          <w:tcPr>
            <w:tcW w:w="1555" w:type="dxa"/>
          </w:tcPr>
          <w:p w14:paraId="2E00E78C" w14:textId="77777777" w:rsidR="00620E23" w:rsidRDefault="00620E23" w:rsidP="000062A0">
            <w:pPr>
              <w:rPr>
                <w:rFonts w:cs="Arial"/>
              </w:rPr>
            </w:pPr>
            <w:r w:rsidRPr="00C25C7C">
              <w:rPr>
                <w:rFonts w:cs="Arial"/>
              </w:rPr>
              <w:t>Definition:</w:t>
            </w:r>
          </w:p>
        </w:tc>
        <w:tc>
          <w:tcPr>
            <w:tcW w:w="7455" w:type="dxa"/>
          </w:tcPr>
          <w:p w14:paraId="73BFB821" w14:textId="7C85D429" w:rsidR="00620E23" w:rsidRDefault="00620E23" w:rsidP="00620E23">
            <w:pPr>
              <w:rPr>
                <w:rFonts w:cs="Arial"/>
              </w:rPr>
            </w:pPr>
            <w:r w:rsidRPr="00DE6C27">
              <w:rPr>
                <w:rFonts w:cs="Arial"/>
              </w:rPr>
              <w:t xml:space="preserve">The percentage of the </w:t>
            </w:r>
            <w:r>
              <w:rPr>
                <w:rFonts w:cs="Arial"/>
              </w:rPr>
              <w:t>download</w:t>
            </w:r>
            <w:r w:rsidRPr="00DE6C27">
              <w:rPr>
                <w:rFonts w:cs="Arial"/>
              </w:rPr>
              <w:t xml:space="preserve"> services that are in conformity with Commission Regulation (EC) No 976/2009 as regards the Network Services</w:t>
            </w:r>
          </w:p>
        </w:tc>
      </w:tr>
      <w:tr w:rsidR="00620E23" w14:paraId="2EB24675" w14:textId="77777777" w:rsidTr="000062A0">
        <w:tc>
          <w:tcPr>
            <w:tcW w:w="1555" w:type="dxa"/>
          </w:tcPr>
          <w:p w14:paraId="4BAE7089" w14:textId="77777777" w:rsidR="00620E23" w:rsidRDefault="00620E23" w:rsidP="000062A0">
            <w:pPr>
              <w:rPr>
                <w:rFonts w:cs="Arial"/>
              </w:rPr>
            </w:pPr>
            <w:r w:rsidRPr="00C25C7C">
              <w:rPr>
                <w:rFonts w:cs="Arial"/>
              </w:rPr>
              <w:t>Description:</w:t>
            </w:r>
          </w:p>
        </w:tc>
        <w:tc>
          <w:tcPr>
            <w:tcW w:w="7455" w:type="dxa"/>
          </w:tcPr>
          <w:p w14:paraId="7E200D7C" w14:textId="19351719" w:rsidR="00620E23" w:rsidRDefault="00620E23" w:rsidP="000062A0">
            <w:pPr>
              <w:rPr>
                <w:rFonts w:cs="Arial"/>
              </w:rPr>
            </w:pPr>
            <w:r w:rsidRPr="00DE6C27">
              <w:rPr>
                <w:rFonts w:cs="Arial"/>
              </w:rPr>
              <w:t xml:space="preserve">The number of </w:t>
            </w:r>
            <w:r w:rsidRPr="00620E23">
              <w:rPr>
                <w:rFonts w:cs="Arial"/>
              </w:rPr>
              <w:t>download</w:t>
            </w:r>
            <w:r w:rsidRPr="00DE6C27">
              <w:rPr>
                <w:rFonts w:cs="Arial"/>
              </w:rPr>
              <w:t xml:space="preserve"> services which are in conformity with Regulation (EC) No 976/2009 multiplied by a hundred and divide</w:t>
            </w:r>
            <w:r>
              <w:rPr>
                <w:rFonts w:cs="Arial"/>
              </w:rPr>
              <w:t xml:space="preserve">d by the total number of </w:t>
            </w:r>
            <w:r w:rsidRPr="00620E23">
              <w:rPr>
                <w:rFonts w:cs="Arial"/>
              </w:rPr>
              <w:t>download</w:t>
            </w:r>
            <w:r w:rsidRPr="00DE6C27">
              <w:rPr>
                <w:rFonts w:cs="Arial"/>
              </w:rPr>
              <w:t xml:space="preserve"> services</w:t>
            </w:r>
          </w:p>
        </w:tc>
      </w:tr>
      <w:tr w:rsidR="00620E23" w14:paraId="167DEF3A" w14:textId="77777777" w:rsidTr="000062A0">
        <w:tc>
          <w:tcPr>
            <w:tcW w:w="1555" w:type="dxa"/>
          </w:tcPr>
          <w:p w14:paraId="0845CC73" w14:textId="77777777" w:rsidR="00620E23" w:rsidRDefault="00620E23" w:rsidP="000062A0">
            <w:pPr>
              <w:rPr>
                <w:rFonts w:cs="Arial"/>
              </w:rPr>
            </w:pPr>
            <w:r>
              <w:rPr>
                <w:rFonts w:cs="Arial"/>
              </w:rPr>
              <w:t>Calculation method</w:t>
            </w:r>
          </w:p>
        </w:tc>
        <w:tc>
          <w:tcPr>
            <w:tcW w:w="7455" w:type="dxa"/>
          </w:tcPr>
          <w:p w14:paraId="78C1185D" w14:textId="4CA741EB" w:rsidR="00620E23" w:rsidRDefault="00620E23" w:rsidP="000062A0">
            <w:pPr>
              <w:rPr>
                <w:rFonts w:cs="Arial"/>
              </w:rPr>
            </w:pPr>
            <w:r w:rsidRPr="00DE6C27">
              <w:rPr>
                <w:rFonts w:cs="Arial"/>
              </w:rPr>
              <w:t>For</w:t>
            </w:r>
            <w:r>
              <w:rPr>
                <w:rFonts w:cs="Arial"/>
              </w:rPr>
              <w:t xml:space="preserve"> this indicator only </w:t>
            </w:r>
            <w:r w:rsidRPr="00620E23">
              <w:rPr>
                <w:rFonts w:cs="Arial"/>
              </w:rPr>
              <w:t>download</w:t>
            </w:r>
            <w:r>
              <w:rPr>
                <w:rFonts w:cs="Arial"/>
              </w:rPr>
              <w:t xml:space="preserve"> </w:t>
            </w:r>
            <w:r w:rsidRPr="00DE6C27">
              <w:rPr>
                <w:rFonts w:cs="Arial"/>
              </w:rPr>
              <w:t xml:space="preserve">network services will be taken into account. The identification of the type of network services will be done based on the "spatial data service type" metadata element when service metadata is provided or based on the definition of the service </w:t>
            </w:r>
            <w:r>
              <w:rPr>
                <w:rFonts w:cs="Arial"/>
              </w:rPr>
              <w:t xml:space="preserve">access </w:t>
            </w:r>
            <w:r w:rsidRPr="00DE6C27">
              <w:rPr>
                <w:rFonts w:cs="Arial"/>
              </w:rPr>
              <w:t xml:space="preserve">points if these service </w:t>
            </w:r>
            <w:r>
              <w:rPr>
                <w:rFonts w:cs="Arial"/>
              </w:rPr>
              <w:t xml:space="preserve">access </w:t>
            </w:r>
            <w:r w:rsidRPr="00DE6C27">
              <w:rPr>
                <w:rFonts w:cs="Arial"/>
              </w:rPr>
              <w:t>points are defined in data set metadata.</w:t>
            </w:r>
            <w:r>
              <w:rPr>
                <w:rFonts w:cs="Arial"/>
              </w:rPr>
              <w:t xml:space="preserve"> S</w:t>
            </w:r>
            <w:r w:rsidRPr="00620E23">
              <w:rPr>
                <w:rFonts w:cs="Arial"/>
              </w:rPr>
              <w:t xml:space="preserve">tatement </w:t>
            </w:r>
            <w:r>
              <w:rPr>
                <w:rFonts w:cs="Arial"/>
              </w:rPr>
              <w:t xml:space="preserve">in metadata should </w:t>
            </w:r>
            <w:r w:rsidRPr="00620E23">
              <w:rPr>
                <w:rFonts w:cs="Arial"/>
              </w:rPr>
              <w:t>express</w:t>
            </w:r>
            <w:r w:rsidR="00F5715F">
              <w:rPr>
                <w:rFonts w:cs="Arial"/>
              </w:rPr>
              <w:t xml:space="preserve"> the conformity with</w:t>
            </w:r>
            <w:r w:rsidRPr="00620E23">
              <w:rPr>
                <w:rFonts w:cs="Arial"/>
              </w:rPr>
              <w:t xml:space="preserve"> Regulation (EU) No 976/2009 in the "Conformity" metadata element</w:t>
            </w:r>
            <w:r>
              <w:rPr>
                <w:rFonts w:cs="Arial"/>
              </w:rPr>
              <w:t>.</w:t>
            </w:r>
            <w:r w:rsidRPr="00620E23">
              <w:rPr>
                <w:rFonts w:cs="Arial"/>
              </w:rPr>
              <w:t xml:space="preserve"> The Commission will provide a code list with possible conformity statements in the INSPIRE Register.</w:t>
            </w:r>
          </w:p>
          <w:p w14:paraId="22D097A8" w14:textId="0990CD0F" w:rsidR="00620E23" w:rsidRDefault="005004A3" w:rsidP="000062A0">
            <w:pPr>
              <w:rPr>
                <w:rFonts w:cs="Arial"/>
              </w:rPr>
            </w:pPr>
            <w:r>
              <w:rPr>
                <w:rFonts w:cs="Arial"/>
              </w:rPr>
              <w:t xml:space="preserve">Member States are encouraged to use the INSPIRE reference validator for testing the conformity </w:t>
            </w:r>
            <w:r w:rsidRPr="00620E23">
              <w:rPr>
                <w:rFonts w:cs="Arial"/>
              </w:rPr>
              <w:t xml:space="preserve">of their </w:t>
            </w:r>
            <w:r>
              <w:rPr>
                <w:rFonts w:cs="Arial"/>
              </w:rPr>
              <w:t>network services</w:t>
            </w:r>
            <w:r w:rsidRPr="00620E23">
              <w:rPr>
                <w:rFonts w:cs="Arial"/>
              </w:rPr>
              <w:t>.</w:t>
            </w:r>
          </w:p>
          <w:p w14:paraId="3756C2DA" w14:textId="19989E93" w:rsidR="00620E23" w:rsidRDefault="00A53AAD" w:rsidP="00C6730C">
            <w:pPr>
              <w:rPr>
                <w:rFonts w:cs="Arial"/>
              </w:rPr>
            </w:pPr>
            <w:r w:rsidRPr="00A53AAD">
              <w:rPr>
                <w:rFonts w:cs="Arial"/>
              </w:rPr>
              <w:t xml:space="preserve">At the EU level, this indicator is calculated as the </w:t>
            </w:r>
            <w:r w:rsidR="00C6730C">
              <w:rPr>
                <w:rFonts w:cs="Arial"/>
              </w:rPr>
              <w:t>average</w:t>
            </w:r>
            <w:r w:rsidRPr="00A53AAD">
              <w:rPr>
                <w:rFonts w:cs="Arial"/>
              </w:rPr>
              <w:t xml:space="preserve"> of all Member State</w:t>
            </w:r>
            <w:r w:rsidR="00C6730C">
              <w:rPr>
                <w:rFonts w:cs="Arial"/>
              </w:rPr>
              <w:t>s</w:t>
            </w:r>
            <w:r w:rsidRPr="00A53AAD">
              <w:rPr>
                <w:rFonts w:cs="Arial"/>
              </w:rPr>
              <w:t xml:space="preserve">.  </w:t>
            </w:r>
          </w:p>
        </w:tc>
      </w:tr>
    </w:tbl>
    <w:p w14:paraId="784F493A" w14:textId="3C2722DB" w:rsidR="00620E23" w:rsidRDefault="00620E23" w:rsidP="00620E23">
      <w:pPr>
        <w:rPr>
          <w:rFonts w:cs="Arial"/>
        </w:rPr>
      </w:pPr>
    </w:p>
    <w:p w14:paraId="0F2EACDC" w14:textId="77777777" w:rsidR="00620E23" w:rsidRDefault="00620E23" w:rsidP="00620E23">
      <w:pPr>
        <w:rPr>
          <w:rFonts w:cs="Arial"/>
        </w:rPr>
      </w:pPr>
    </w:p>
    <w:tbl>
      <w:tblPr>
        <w:tblStyle w:val="TableGrid"/>
        <w:tblW w:w="0" w:type="auto"/>
        <w:tblLayout w:type="fixed"/>
        <w:tblLook w:val="04A0" w:firstRow="1" w:lastRow="0" w:firstColumn="1" w:lastColumn="0" w:noHBand="0" w:noVBand="1"/>
      </w:tblPr>
      <w:tblGrid>
        <w:gridCol w:w="1555"/>
        <w:gridCol w:w="7455"/>
      </w:tblGrid>
      <w:tr w:rsidR="00620E23" w:rsidRPr="00F04EB8" w14:paraId="6B0AF501" w14:textId="77777777" w:rsidTr="000062A0">
        <w:tc>
          <w:tcPr>
            <w:tcW w:w="1555" w:type="dxa"/>
          </w:tcPr>
          <w:p w14:paraId="0CAA296D" w14:textId="77777777" w:rsidR="00620E23" w:rsidRPr="00F04EB8" w:rsidRDefault="00620E23" w:rsidP="000062A0">
            <w:pPr>
              <w:rPr>
                <w:rFonts w:cs="Arial"/>
                <w:b/>
              </w:rPr>
            </w:pPr>
            <w:r w:rsidRPr="00F04EB8">
              <w:rPr>
                <w:rFonts w:cs="Arial"/>
                <w:b/>
              </w:rPr>
              <w:t>Indicator:</w:t>
            </w:r>
          </w:p>
        </w:tc>
        <w:tc>
          <w:tcPr>
            <w:tcW w:w="7455" w:type="dxa"/>
          </w:tcPr>
          <w:p w14:paraId="7703E23B" w14:textId="49C14B28" w:rsidR="00620E23" w:rsidRPr="00F04EB8" w:rsidRDefault="00620E23" w:rsidP="000062A0">
            <w:pPr>
              <w:rPr>
                <w:rFonts w:cs="Arial"/>
                <w:b/>
              </w:rPr>
            </w:pPr>
            <w:r>
              <w:rPr>
                <w:rFonts w:cs="Arial"/>
                <w:b/>
              </w:rPr>
              <w:t>NSi4.4</w:t>
            </w:r>
          </w:p>
        </w:tc>
      </w:tr>
      <w:tr w:rsidR="00620E23" w14:paraId="5BF144C7" w14:textId="77777777" w:rsidTr="000062A0">
        <w:tc>
          <w:tcPr>
            <w:tcW w:w="1555" w:type="dxa"/>
          </w:tcPr>
          <w:p w14:paraId="1E662612" w14:textId="77777777" w:rsidR="00620E23" w:rsidRDefault="00620E23" w:rsidP="000062A0">
            <w:pPr>
              <w:rPr>
                <w:rFonts w:cs="Arial"/>
              </w:rPr>
            </w:pPr>
            <w:r w:rsidRPr="00C25C7C">
              <w:rPr>
                <w:rFonts w:cs="Arial"/>
              </w:rPr>
              <w:t>Definition:</w:t>
            </w:r>
          </w:p>
        </w:tc>
        <w:tc>
          <w:tcPr>
            <w:tcW w:w="7455" w:type="dxa"/>
          </w:tcPr>
          <w:p w14:paraId="4FCF3A02" w14:textId="2E42C35E" w:rsidR="00620E23" w:rsidRDefault="00620E23" w:rsidP="000062A0">
            <w:pPr>
              <w:rPr>
                <w:rFonts w:cs="Arial"/>
              </w:rPr>
            </w:pPr>
            <w:r w:rsidRPr="00DE6C27">
              <w:rPr>
                <w:rFonts w:cs="Arial"/>
              </w:rPr>
              <w:t xml:space="preserve">The percentage of the </w:t>
            </w:r>
            <w:r w:rsidRPr="00620E23">
              <w:rPr>
                <w:rFonts w:cs="Arial"/>
              </w:rPr>
              <w:t>transformation</w:t>
            </w:r>
            <w:r w:rsidRPr="00DE6C27">
              <w:rPr>
                <w:rFonts w:cs="Arial"/>
              </w:rPr>
              <w:t xml:space="preserve"> services that are in conformity with Commission Regulation (EC) No 976/2009 as regards the Network Services</w:t>
            </w:r>
          </w:p>
        </w:tc>
      </w:tr>
      <w:tr w:rsidR="00620E23" w14:paraId="1B2EAF7C" w14:textId="77777777" w:rsidTr="000062A0">
        <w:tc>
          <w:tcPr>
            <w:tcW w:w="1555" w:type="dxa"/>
          </w:tcPr>
          <w:p w14:paraId="51E86F44" w14:textId="77777777" w:rsidR="00620E23" w:rsidRDefault="00620E23" w:rsidP="000062A0">
            <w:pPr>
              <w:rPr>
                <w:rFonts w:cs="Arial"/>
              </w:rPr>
            </w:pPr>
            <w:r w:rsidRPr="00C25C7C">
              <w:rPr>
                <w:rFonts w:cs="Arial"/>
              </w:rPr>
              <w:t>Description:</w:t>
            </w:r>
          </w:p>
        </w:tc>
        <w:tc>
          <w:tcPr>
            <w:tcW w:w="7455" w:type="dxa"/>
          </w:tcPr>
          <w:p w14:paraId="5D016FE6" w14:textId="295F7055" w:rsidR="00620E23" w:rsidRDefault="00620E23" w:rsidP="000062A0">
            <w:pPr>
              <w:rPr>
                <w:rFonts w:cs="Arial"/>
              </w:rPr>
            </w:pPr>
            <w:r w:rsidRPr="00DE6C27">
              <w:rPr>
                <w:rFonts w:cs="Arial"/>
              </w:rPr>
              <w:t xml:space="preserve">The number of </w:t>
            </w:r>
            <w:r w:rsidRPr="00620E23">
              <w:rPr>
                <w:rFonts w:cs="Arial"/>
              </w:rPr>
              <w:t>transformation</w:t>
            </w:r>
            <w:r w:rsidRPr="00DE6C27">
              <w:rPr>
                <w:rFonts w:cs="Arial"/>
              </w:rPr>
              <w:t xml:space="preserve"> services which are in conformity with Regulation (EC) No 976/2009 multiplied by a hundred and divide</w:t>
            </w:r>
            <w:r>
              <w:rPr>
                <w:rFonts w:cs="Arial"/>
              </w:rPr>
              <w:t xml:space="preserve">d by the total number of </w:t>
            </w:r>
            <w:r w:rsidRPr="00620E23">
              <w:rPr>
                <w:rFonts w:cs="Arial"/>
              </w:rPr>
              <w:t>transformation</w:t>
            </w:r>
            <w:r w:rsidRPr="00DE6C27">
              <w:rPr>
                <w:rFonts w:cs="Arial"/>
              </w:rPr>
              <w:t xml:space="preserve"> services</w:t>
            </w:r>
          </w:p>
        </w:tc>
      </w:tr>
      <w:tr w:rsidR="00620E23" w14:paraId="050900BE" w14:textId="77777777" w:rsidTr="000062A0">
        <w:tc>
          <w:tcPr>
            <w:tcW w:w="1555" w:type="dxa"/>
          </w:tcPr>
          <w:p w14:paraId="690EF539" w14:textId="77777777" w:rsidR="00620E23" w:rsidRDefault="00620E23" w:rsidP="000062A0">
            <w:pPr>
              <w:rPr>
                <w:rFonts w:cs="Arial"/>
              </w:rPr>
            </w:pPr>
            <w:r>
              <w:rPr>
                <w:rFonts w:cs="Arial"/>
              </w:rPr>
              <w:t>Calculation method</w:t>
            </w:r>
          </w:p>
        </w:tc>
        <w:tc>
          <w:tcPr>
            <w:tcW w:w="7455" w:type="dxa"/>
          </w:tcPr>
          <w:p w14:paraId="7DE268FD" w14:textId="3E19A5E8" w:rsidR="00620E23" w:rsidRDefault="00620E23" w:rsidP="000062A0">
            <w:pPr>
              <w:rPr>
                <w:rFonts w:cs="Arial"/>
              </w:rPr>
            </w:pPr>
            <w:r w:rsidRPr="00DE6C27">
              <w:rPr>
                <w:rFonts w:cs="Arial"/>
              </w:rPr>
              <w:t>For</w:t>
            </w:r>
            <w:r>
              <w:rPr>
                <w:rFonts w:cs="Arial"/>
              </w:rPr>
              <w:t xml:space="preserve"> this indicator only </w:t>
            </w:r>
            <w:r w:rsidRPr="00620E23">
              <w:rPr>
                <w:rFonts w:cs="Arial"/>
              </w:rPr>
              <w:t>transformation</w:t>
            </w:r>
            <w:r>
              <w:rPr>
                <w:rFonts w:cs="Arial"/>
              </w:rPr>
              <w:t xml:space="preserve"> </w:t>
            </w:r>
            <w:r w:rsidRPr="00DE6C27">
              <w:rPr>
                <w:rFonts w:cs="Arial"/>
              </w:rPr>
              <w:t xml:space="preserve">network services will be taken into account. The identification of the type of network services will be done based on the "spatial data service type" metadata element when service metadata is provided or based on the definition of the service </w:t>
            </w:r>
            <w:r>
              <w:rPr>
                <w:rFonts w:cs="Arial"/>
              </w:rPr>
              <w:t xml:space="preserve">access </w:t>
            </w:r>
            <w:r w:rsidRPr="00DE6C27">
              <w:rPr>
                <w:rFonts w:cs="Arial"/>
              </w:rPr>
              <w:t xml:space="preserve">points if these service </w:t>
            </w:r>
            <w:r>
              <w:rPr>
                <w:rFonts w:cs="Arial"/>
              </w:rPr>
              <w:t xml:space="preserve">access </w:t>
            </w:r>
            <w:r w:rsidRPr="00DE6C27">
              <w:rPr>
                <w:rFonts w:cs="Arial"/>
              </w:rPr>
              <w:t>points are defined in data set metadata.</w:t>
            </w:r>
            <w:r>
              <w:rPr>
                <w:rFonts w:cs="Arial"/>
              </w:rPr>
              <w:t xml:space="preserve"> S</w:t>
            </w:r>
            <w:r w:rsidRPr="00620E23">
              <w:rPr>
                <w:rFonts w:cs="Arial"/>
              </w:rPr>
              <w:t xml:space="preserve">tatement </w:t>
            </w:r>
            <w:r>
              <w:rPr>
                <w:rFonts w:cs="Arial"/>
              </w:rPr>
              <w:lastRenderedPageBreak/>
              <w:t xml:space="preserve">in metadata should </w:t>
            </w:r>
            <w:r w:rsidRPr="00620E23">
              <w:rPr>
                <w:rFonts w:cs="Arial"/>
              </w:rPr>
              <w:t>express</w:t>
            </w:r>
            <w:r w:rsidR="00F5715F">
              <w:rPr>
                <w:rFonts w:cs="Arial"/>
              </w:rPr>
              <w:t xml:space="preserve"> the conformity with </w:t>
            </w:r>
            <w:r w:rsidRPr="00620E23">
              <w:rPr>
                <w:rFonts w:cs="Arial"/>
              </w:rPr>
              <w:t>Regulation (EU) No 976/2009 in the "Conformity" metadata element</w:t>
            </w:r>
            <w:r>
              <w:rPr>
                <w:rFonts w:cs="Arial"/>
              </w:rPr>
              <w:t>.</w:t>
            </w:r>
            <w:r w:rsidRPr="00620E23">
              <w:rPr>
                <w:rFonts w:cs="Arial"/>
              </w:rPr>
              <w:t xml:space="preserve"> The Commission will provide a code list with possible conformity statements in the INSPIRE Register.</w:t>
            </w:r>
          </w:p>
          <w:p w14:paraId="71E2B794" w14:textId="1CD3E79F" w:rsidR="00620E23" w:rsidRDefault="005004A3" w:rsidP="000062A0">
            <w:pPr>
              <w:rPr>
                <w:rFonts w:cs="Arial"/>
              </w:rPr>
            </w:pPr>
            <w:r>
              <w:rPr>
                <w:rFonts w:cs="Arial"/>
              </w:rPr>
              <w:t xml:space="preserve">Member States are encouraged to use the INSPIRE reference validator for testing the conformity </w:t>
            </w:r>
            <w:r w:rsidRPr="00620E23">
              <w:rPr>
                <w:rFonts w:cs="Arial"/>
              </w:rPr>
              <w:t xml:space="preserve">of their </w:t>
            </w:r>
            <w:r>
              <w:rPr>
                <w:rFonts w:cs="Arial"/>
              </w:rPr>
              <w:t>network services</w:t>
            </w:r>
            <w:r w:rsidRPr="00620E23">
              <w:rPr>
                <w:rFonts w:cs="Arial"/>
              </w:rPr>
              <w:t>.</w:t>
            </w:r>
          </w:p>
          <w:p w14:paraId="21A9AAC5" w14:textId="72C14466" w:rsidR="00620E23" w:rsidRDefault="00A53AAD" w:rsidP="00C6730C">
            <w:pPr>
              <w:rPr>
                <w:rFonts w:cs="Arial"/>
              </w:rPr>
            </w:pPr>
            <w:r w:rsidRPr="00A53AAD">
              <w:rPr>
                <w:rFonts w:cs="Arial"/>
              </w:rPr>
              <w:t xml:space="preserve">At the EU level, this indicator is calculated as the </w:t>
            </w:r>
            <w:r w:rsidR="00C6730C">
              <w:rPr>
                <w:rFonts w:cs="Arial"/>
              </w:rPr>
              <w:t>average</w:t>
            </w:r>
            <w:r w:rsidRPr="00A53AAD">
              <w:rPr>
                <w:rFonts w:cs="Arial"/>
              </w:rPr>
              <w:t xml:space="preserve"> of all Member State</w:t>
            </w:r>
            <w:r w:rsidR="00C6730C">
              <w:rPr>
                <w:rFonts w:cs="Arial"/>
              </w:rPr>
              <w:t>s</w:t>
            </w:r>
            <w:r w:rsidRPr="00A53AAD">
              <w:rPr>
                <w:rFonts w:cs="Arial"/>
              </w:rPr>
              <w:t xml:space="preserve">.  </w:t>
            </w:r>
          </w:p>
        </w:tc>
      </w:tr>
    </w:tbl>
    <w:p w14:paraId="456E1CD7" w14:textId="77777777" w:rsidR="00620E23" w:rsidRDefault="00620E23" w:rsidP="00620E23">
      <w:pPr>
        <w:rPr>
          <w:rFonts w:cs="Arial"/>
        </w:rPr>
      </w:pPr>
    </w:p>
    <w:p w14:paraId="5861650E" w14:textId="436E8D89" w:rsidR="001B05C3" w:rsidRDefault="001B05C3">
      <w:pPr>
        <w:spacing w:before="0" w:after="0"/>
        <w:jc w:val="left"/>
        <w:rPr>
          <w:rFonts w:cs="Arial"/>
        </w:rPr>
      </w:pPr>
    </w:p>
    <w:p w14:paraId="2D37FFA1" w14:textId="4ADD7528" w:rsidR="0048616A" w:rsidRDefault="0048616A">
      <w:pPr>
        <w:spacing w:before="0" w:after="0"/>
        <w:jc w:val="left"/>
        <w:rPr>
          <w:rFonts w:cs="Arial"/>
        </w:rPr>
      </w:pPr>
      <w:r>
        <w:rPr>
          <w:rFonts w:cs="Arial"/>
        </w:rPr>
        <w:br w:type="page"/>
      </w:r>
    </w:p>
    <w:p w14:paraId="2CE453C1" w14:textId="73C8B127" w:rsidR="0048616A" w:rsidRDefault="0048616A" w:rsidP="00C6730C">
      <w:pPr>
        <w:pStyle w:val="Heading1"/>
        <w:numPr>
          <w:ilvl w:val="0"/>
          <w:numId w:val="0"/>
        </w:numPr>
      </w:pPr>
      <w:bookmarkStart w:id="7" w:name="_Toc10807206"/>
      <w:r>
        <w:lastRenderedPageBreak/>
        <w:t xml:space="preserve">Annex 1 – </w:t>
      </w:r>
      <w:r w:rsidR="00CB692B">
        <w:t>T</w:t>
      </w:r>
      <w:r>
        <w:t>he INSPIRE Reference Validator for the calculation of the indicators MDi1.1 and MDi1.2</w:t>
      </w:r>
      <w:bookmarkEnd w:id="7"/>
    </w:p>
    <w:p w14:paraId="43B21598" w14:textId="2672D535" w:rsidR="0048616A" w:rsidRPr="00BB14D7" w:rsidRDefault="0000253B" w:rsidP="0048616A">
      <w:pPr>
        <w:rPr>
          <w:rFonts w:eastAsia="Times New Roman" w:cs="Arial"/>
          <w:szCs w:val="22"/>
          <w:lang w:eastAsia="en-GB"/>
        </w:rPr>
      </w:pPr>
      <w:r w:rsidRPr="0000253B">
        <w:rPr>
          <w:rFonts w:eastAsia="Times New Roman" w:cs="Arial"/>
          <w:szCs w:val="22"/>
        </w:rPr>
        <w:t>All the Abstract Test Suites (ATS) for testing the conformity of metadata are publicly available online, and hosted on GitHub. Below is a brief explanation on how to access the ATS for MD TG v.1.3 and MD TG v.2.0. Please note that starting from December 2019 only MD TG v.2.0 will be required.</w:t>
      </w:r>
    </w:p>
    <w:p w14:paraId="21F336AC" w14:textId="77777777" w:rsidR="0048616A" w:rsidRDefault="0048616A" w:rsidP="0048616A">
      <w:pPr>
        <w:rPr>
          <w:rFonts w:ascii="Tahoma" w:eastAsia="Times New Roman" w:hAnsi="Tahoma" w:cs="Tahoma"/>
          <w:sz w:val="20"/>
          <w:szCs w:val="20"/>
        </w:rPr>
      </w:pPr>
    </w:p>
    <w:p w14:paraId="0A851EC8" w14:textId="39ACEB31" w:rsidR="0048616A" w:rsidRDefault="0048616A" w:rsidP="00BB14D7">
      <w:pPr>
        <w:pStyle w:val="Heading2"/>
      </w:pPr>
      <w:bookmarkStart w:id="8" w:name="_Toc10807207"/>
      <w:r>
        <w:t xml:space="preserve">MD TG </w:t>
      </w:r>
      <w:r w:rsidR="0000253B">
        <w:t>v.</w:t>
      </w:r>
      <w:r>
        <w:t>1.3</w:t>
      </w:r>
      <w:bookmarkEnd w:id="8"/>
    </w:p>
    <w:p w14:paraId="37721BD9" w14:textId="77777777" w:rsidR="0000253B" w:rsidRDefault="0000253B" w:rsidP="0000253B">
      <w:pPr>
        <w:rPr>
          <w:rFonts w:eastAsia="Times New Roman" w:cs="Arial"/>
          <w:szCs w:val="22"/>
        </w:rPr>
      </w:pPr>
      <w:r w:rsidRPr="00BB14D7">
        <w:rPr>
          <w:rFonts w:eastAsia="Times New Roman" w:cs="Arial"/>
          <w:szCs w:val="22"/>
        </w:rPr>
        <w:t>The</w:t>
      </w:r>
      <w:r>
        <w:rPr>
          <w:rFonts w:eastAsia="Times New Roman" w:cs="Arial"/>
          <w:szCs w:val="22"/>
        </w:rPr>
        <w:t>re are 2 conformance classes:</w:t>
      </w:r>
    </w:p>
    <w:p w14:paraId="2FA31938" w14:textId="77777777" w:rsidR="0000253B" w:rsidRPr="00901C2E" w:rsidRDefault="0000253B" w:rsidP="0000253B">
      <w:pPr>
        <w:pStyle w:val="ListParagraph"/>
        <w:numPr>
          <w:ilvl w:val="0"/>
          <w:numId w:val="35"/>
        </w:numPr>
        <w:rPr>
          <w:rFonts w:ascii="Arial" w:eastAsia="Times New Roman" w:hAnsi="Arial" w:cs="Arial"/>
        </w:rPr>
      </w:pPr>
      <w:hyperlink r:id="rId16" w:tgtFrame="_blank" w:history="1">
        <w:r w:rsidRPr="00901C2E">
          <w:rPr>
            <w:rFonts w:ascii="Arial" w:hAnsi="Arial" w:cs="Arial"/>
          </w:rPr>
          <w:t>INSPIRE Profile based on EN ISO 19115 and EN ISO 19119</w:t>
        </w:r>
      </w:hyperlink>
    </w:p>
    <w:p w14:paraId="1F0B3477" w14:textId="77777777" w:rsidR="0000253B" w:rsidRPr="00901C2E" w:rsidRDefault="0000253B" w:rsidP="0000253B">
      <w:pPr>
        <w:pStyle w:val="ListParagraph"/>
        <w:numPr>
          <w:ilvl w:val="0"/>
          <w:numId w:val="35"/>
        </w:numPr>
        <w:rPr>
          <w:rFonts w:ascii="Arial" w:eastAsia="Times New Roman" w:hAnsi="Arial" w:cs="Arial"/>
        </w:rPr>
      </w:pPr>
      <w:r w:rsidRPr="00901C2E">
        <w:rPr>
          <w:rFonts w:ascii="Arial" w:eastAsia="Times New Roman" w:hAnsi="Arial" w:cs="Arial"/>
        </w:rPr>
        <w:t>Metadata for interoperability</w:t>
      </w:r>
    </w:p>
    <w:p w14:paraId="0BE878C6" w14:textId="77777777" w:rsidR="0000253B" w:rsidRPr="00901C2E" w:rsidRDefault="0000253B" w:rsidP="0000253B">
      <w:pPr>
        <w:rPr>
          <w:rFonts w:eastAsia="Times New Roman" w:cs="Arial"/>
          <w:szCs w:val="22"/>
        </w:rPr>
      </w:pPr>
      <w:r>
        <w:rPr>
          <w:rFonts w:eastAsia="Times New Roman" w:cs="Arial"/>
          <w:szCs w:val="22"/>
        </w:rPr>
        <w:t xml:space="preserve">whose ATS are </w:t>
      </w:r>
      <w:r w:rsidRPr="00901C2E">
        <w:rPr>
          <w:rFonts w:eastAsia="Times New Roman" w:cs="Arial"/>
          <w:szCs w:val="22"/>
        </w:rPr>
        <w:t>available from the following GitHub pages, respectively:</w:t>
      </w:r>
    </w:p>
    <w:p w14:paraId="706DF89A" w14:textId="77777777" w:rsidR="0000253B" w:rsidRPr="00901C2E" w:rsidRDefault="0000253B" w:rsidP="0000253B">
      <w:pPr>
        <w:pStyle w:val="ListParagraph"/>
        <w:numPr>
          <w:ilvl w:val="0"/>
          <w:numId w:val="36"/>
        </w:numPr>
        <w:rPr>
          <w:rFonts w:ascii="Arial" w:eastAsia="Times New Roman" w:hAnsi="Arial" w:cs="Arial"/>
        </w:rPr>
      </w:pPr>
      <w:r w:rsidRPr="00901C2E">
        <w:rPr>
          <w:rFonts w:ascii="Arial" w:eastAsia="Times New Roman" w:hAnsi="Arial" w:cs="Arial"/>
        </w:rPr>
        <w:t>https://github.com/inspire-eu-validation/metadata/tree/master/iso-19115-19119</w:t>
      </w:r>
    </w:p>
    <w:p w14:paraId="45E72062" w14:textId="77777777" w:rsidR="0000253B" w:rsidRPr="00901C2E" w:rsidRDefault="0000253B" w:rsidP="0000253B">
      <w:pPr>
        <w:pStyle w:val="ListParagraph"/>
        <w:numPr>
          <w:ilvl w:val="0"/>
          <w:numId w:val="36"/>
        </w:numPr>
        <w:rPr>
          <w:rFonts w:ascii="Arial" w:eastAsia="Times New Roman" w:hAnsi="Arial" w:cs="Arial"/>
        </w:rPr>
      </w:pPr>
      <w:r w:rsidRPr="00901C2E">
        <w:rPr>
          <w:rFonts w:ascii="Arial" w:eastAsia="Times New Roman" w:hAnsi="Arial" w:cs="Arial"/>
        </w:rPr>
        <w:t>https://github.com/inspire-eu-validation/data/tree/master/interoperability-metadata</w:t>
      </w:r>
    </w:p>
    <w:p w14:paraId="53B99462" w14:textId="2F32471B" w:rsidR="0048616A" w:rsidRPr="00BB14D7" w:rsidRDefault="0000253B" w:rsidP="0000253B">
      <w:pPr>
        <w:rPr>
          <w:rFonts w:eastAsia="Times New Roman" w:cs="Arial"/>
          <w:szCs w:val="22"/>
        </w:rPr>
      </w:pPr>
      <w:r>
        <w:rPr>
          <w:rFonts w:eastAsia="Times New Roman" w:cs="Arial"/>
          <w:szCs w:val="22"/>
        </w:rPr>
        <w:t xml:space="preserve">Each of these pages contains the list of </w:t>
      </w:r>
      <w:r w:rsidRPr="00DF71E6">
        <w:rPr>
          <w:rFonts w:eastAsia="Times New Roman" w:cs="Arial"/>
          <w:szCs w:val="22"/>
        </w:rPr>
        <w:t>all the TG requirements and the corresponding tests. For example,</w:t>
      </w:r>
      <w:r>
        <w:rPr>
          <w:rFonts w:eastAsia="Times New Roman" w:cs="Arial"/>
          <w:szCs w:val="22"/>
        </w:rPr>
        <w:t xml:space="preserve"> from the GitHub page of the conformance class </w:t>
      </w:r>
      <w:r w:rsidRPr="00901C2E">
        <w:rPr>
          <w:rFonts w:eastAsia="Times New Roman" w:cs="Arial"/>
          <w:szCs w:val="22"/>
        </w:rPr>
        <w:t>INSPIRE Profile based on EN ISO 19115 and EN ISO 19119</w:t>
      </w:r>
      <w:r>
        <w:rPr>
          <w:rFonts w:eastAsia="Times New Roman" w:cs="Arial"/>
          <w:szCs w:val="22"/>
        </w:rPr>
        <w:t>,</w:t>
      </w:r>
      <w:r w:rsidRPr="00DF71E6">
        <w:rPr>
          <w:rFonts w:eastAsia="Times New Roman" w:cs="Arial"/>
          <w:szCs w:val="22"/>
        </w:rPr>
        <w:t xml:space="preserve"> take</w:t>
      </w:r>
      <w:r w:rsidRPr="00BB14D7">
        <w:rPr>
          <w:rFonts w:eastAsia="Times New Roman" w:cs="Arial"/>
          <w:szCs w:val="22"/>
        </w:rPr>
        <w:t xml:space="preserve"> the first </w:t>
      </w:r>
      <w:r>
        <w:rPr>
          <w:rFonts w:eastAsia="Times New Roman" w:cs="Arial"/>
          <w:szCs w:val="22"/>
        </w:rPr>
        <w:t xml:space="preserve">TG requirement </w:t>
      </w:r>
      <w:r w:rsidRPr="00BB14D7">
        <w:rPr>
          <w:rFonts w:eastAsia="Times New Roman" w:cs="Arial"/>
          <w:szCs w:val="22"/>
        </w:rPr>
        <w:t>(</w:t>
      </w:r>
      <w:proofErr w:type="spellStart"/>
      <w:r w:rsidRPr="00BB14D7">
        <w:rPr>
          <w:rFonts w:eastAsia="Times New Roman" w:cs="Arial"/>
          <w:szCs w:val="22"/>
        </w:rPr>
        <w:t>Req</w:t>
      </w:r>
      <w:proofErr w:type="spellEnd"/>
      <w:r w:rsidRPr="00BB14D7">
        <w:rPr>
          <w:rFonts w:eastAsia="Times New Roman" w:cs="Arial"/>
          <w:szCs w:val="22"/>
        </w:rPr>
        <w:t xml:space="preserve"> #1)</w:t>
      </w:r>
      <w:r>
        <w:rPr>
          <w:rFonts w:eastAsia="Times New Roman" w:cs="Arial"/>
          <w:szCs w:val="22"/>
        </w:rPr>
        <w:t>.</w:t>
      </w:r>
      <w:r w:rsidRPr="00BB14D7">
        <w:rPr>
          <w:rFonts w:eastAsia="Times New Roman" w:cs="Arial"/>
          <w:szCs w:val="22"/>
        </w:rPr>
        <w:t xml:space="preserve"> </w:t>
      </w:r>
      <w:r>
        <w:rPr>
          <w:rFonts w:eastAsia="Times New Roman" w:cs="Arial"/>
          <w:szCs w:val="22"/>
        </w:rPr>
        <w:t>T</w:t>
      </w:r>
      <w:r w:rsidRPr="00BB14D7">
        <w:rPr>
          <w:rFonts w:eastAsia="Times New Roman" w:cs="Arial"/>
          <w:szCs w:val="22"/>
        </w:rPr>
        <w:t>he test description is "</w:t>
      </w:r>
      <w:proofErr w:type="spellStart"/>
      <w:r w:rsidRPr="00BB14D7">
        <w:rPr>
          <w:rFonts w:eastAsia="Times New Roman" w:cs="Arial"/>
          <w:szCs w:val="22"/>
        </w:rPr>
        <w:t>hierachyLevel</w:t>
      </w:r>
      <w:proofErr w:type="spellEnd"/>
      <w:r w:rsidRPr="00BB14D7">
        <w:rPr>
          <w:rFonts w:eastAsia="Times New Roman" w:cs="Arial"/>
          <w:szCs w:val="22"/>
        </w:rPr>
        <w:t xml:space="preserve"> mandated" and the test is called "</w:t>
      </w:r>
      <w:proofErr w:type="spellStart"/>
      <w:r w:rsidRPr="00BB14D7">
        <w:rPr>
          <w:rFonts w:eastAsia="Times New Roman" w:cs="Arial"/>
          <w:szCs w:val="22"/>
        </w:rPr>
        <w:t>Hierachy</w:t>
      </w:r>
      <w:proofErr w:type="spellEnd"/>
      <w:r w:rsidRPr="00BB14D7">
        <w:rPr>
          <w:rFonts w:eastAsia="Times New Roman" w:cs="Arial"/>
          <w:szCs w:val="22"/>
        </w:rPr>
        <w:t xml:space="preserve">" and points to this page: </w:t>
      </w:r>
      <w:r w:rsidRPr="00901C2E">
        <w:rPr>
          <w:rFonts w:cs="Arial"/>
          <w:szCs w:val="22"/>
        </w:rPr>
        <w:t>https://github.com/inspire-eu-validation/metadata/blob/master/iso-19115-19119/hierarchy.md</w:t>
      </w:r>
      <w:r>
        <w:rPr>
          <w:rFonts w:cs="Arial"/>
          <w:szCs w:val="22"/>
        </w:rPr>
        <w:t xml:space="preserve">. </w:t>
      </w:r>
      <w:r w:rsidRPr="00BB14D7">
        <w:rPr>
          <w:rFonts w:eastAsia="Times New Roman" w:cs="Arial"/>
          <w:szCs w:val="22"/>
        </w:rPr>
        <w:t xml:space="preserve">Here you can find the ATS for this specific test, i.e. the textual description of what the </w:t>
      </w:r>
      <w:r>
        <w:rPr>
          <w:rFonts w:eastAsia="Times New Roman" w:cs="Arial"/>
          <w:szCs w:val="22"/>
        </w:rPr>
        <w:t>reference v</w:t>
      </w:r>
      <w:r w:rsidRPr="00BB14D7">
        <w:rPr>
          <w:rFonts w:eastAsia="Times New Roman" w:cs="Arial"/>
          <w:szCs w:val="22"/>
        </w:rPr>
        <w:t>alidator is actually testing.</w:t>
      </w:r>
    </w:p>
    <w:p w14:paraId="69CA75CB" w14:textId="77777777" w:rsidR="0048616A" w:rsidRDefault="0048616A" w:rsidP="0048616A">
      <w:pPr>
        <w:rPr>
          <w:rFonts w:ascii="Tahoma" w:eastAsia="Times New Roman" w:hAnsi="Tahoma" w:cs="Tahoma"/>
          <w:sz w:val="20"/>
          <w:szCs w:val="20"/>
        </w:rPr>
      </w:pPr>
    </w:p>
    <w:p w14:paraId="1715CA1C" w14:textId="6B982F5D" w:rsidR="0048616A" w:rsidRDefault="0048616A" w:rsidP="00BB14D7">
      <w:pPr>
        <w:pStyle w:val="Heading2"/>
      </w:pPr>
      <w:bookmarkStart w:id="9" w:name="_Toc10807208"/>
      <w:r>
        <w:t xml:space="preserve">MD TG </w:t>
      </w:r>
      <w:r w:rsidR="0000253B">
        <w:t>v.</w:t>
      </w:r>
      <w:r>
        <w:t>2.0</w:t>
      </w:r>
      <w:bookmarkEnd w:id="9"/>
    </w:p>
    <w:p w14:paraId="3A35AE36" w14:textId="77777777" w:rsidR="0000253B" w:rsidRPr="00BB14D7" w:rsidRDefault="0000253B" w:rsidP="0000253B">
      <w:pPr>
        <w:rPr>
          <w:rFonts w:cs="Arial"/>
          <w:szCs w:val="22"/>
        </w:rPr>
      </w:pPr>
      <w:r w:rsidRPr="00BB14D7">
        <w:rPr>
          <w:rFonts w:cs="Arial"/>
          <w:szCs w:val="22"/>
        </w:rPr>
        <w:t xml:space="preserve">In this case, there are 3 conformance classes for </w:t>
      </w:r>
      <w:r>
        <w:rPr>
          <w:rFonts w:cs="Arial"/>
          <w:szCs w:val="22"/>
        </w:rPr>
        <w:t>data set and data set series m</w:t>
      </w:r>
      <w:r w:rsidRPr="00BB14D7">
        <w:rPr>
          <w:rFonts w:cs="Arial"/>
          <w:szCs w:val="22"/>
        </w:rPr>
        <w:t xml:space="preserve">etadata, and 6 conformance classes for </w:t>
      </w:r>
      <w:r>
        <w:rPr>
          <w:rFonts w:cs="Arial"/>
          <w:szCs w:val="22"/>
        </w:rPr>
        <w:t>spatial data service m</w:t>
      </w:r>
      <w:r w:rsidRPr="00BB14D7">
        <w:rPr>
          <w:rFonts w:cs="Arial"/>
          <w:szCs w:val="22"/>
        </w:rPr>
        <w:t>etadata</w:t>
      </w:r>
      <w:r>
        <w:rPr>
          <w:rFonts w:cs="Arial"/>
          <w:szCs w:val="22"/>
        </w:rPr>
        <w:t xml:space="preserve"> (one of which is in common, i.e. there is a total of 8 different </w:t>
      </w:r>
      <w:r w:rsidRPr="00BB14D7">
        <w:rPr>
          <w:rFonts w:cs="Arial"/>
          <w:szCs w:val="22"/>
        </w:rPr>
        <w:t>conformance classes</w:t>
      </w:r>
      <w:r>
        <w:rPr>
          <w:rFonts w:cs="Arial"/>
          <w:szCs w:val="22"/>
        </w:rPr>
        <w:t>)</w:t>
      </w:r>
      <w:r w:rsidRPr="00BB14D7">
        <w:rPr>
          <w:rFonts w:cs="Arial"/>
          <w:szCs w:val="22"/>
        </w:rPr>
        <w:t>.</w:t>
      </w:r>
      <w:r>
        <w:rPr>
          <w:rFonts w:cs="Arial"/>
          <w:szCs w:val="22"/>
        </w:rPr>
        <w:t xml:space="preserve"> </w:t>
      </w:r>
      <w:r w:rsidRPr="00BB14D7">
        <w:rPr>
          <w:rFonts w:cs="Arial"/>
          <w:szCs w:val="22"/>
        </w:rPr>
        <w:t>The main page to access the ATS</w:t>
      </w:r>
      <w:r>
        <w:rPr>
          <w:rFonts w:cs="Arial"/>
          <w:szCs w:val="22"/>
        </w:rPr>
        <w:t xml:space="preserve"> for all these conformance classes</w:t>
      </w:r>
      <w:r w:rsidRPr="00BB14D7">
        <w:rPr>
          <w:rFonts w:cs="Arial"/>
          <w:szCs w:val="22"/>
        </w:rPr>
        <w:t xml:space="preserve"> is </w:t>
      </w:r>
      <w:hyperlink r:id="rId17" w:tgtFrame="_blank" w:history="1">
        <w:r w:rsidRPr="00BB14D7">
          <w:rPr>
            <w:rFonts w:cs="Arial"/>
            <w:szCs w:val="22"/>
          </w:rPr>
          <w:t>https://github.com/inspire-eu-validation/metadata/tree/2.0</w:t>
        </w:r>
      </w:hyperlink>
      <w:r>
        <w:rPr>
          <w:rFonts w:cs="Arial"/>
          <w:szCs w:val="22"/>
        </w:rPr>
        <w:t>.</w:t>
      </w:r>
    </w:p>
    <w:p w14:paraId="2D439045" w14:textId="38691C98" w:rsidR="0000253B" w:rsidRDefault="0000253B" w:rsidP="0000253B">
      <w:pPr>
        <w:rPr>
          <w:rFonts w:cs="Arial"/>
          <w:szCs w:val="22"/>
        </w:rPr>
      </w:pPr>
      <w:r>
        <w:rPr>
          <w:rFonts w:cs="Arial"/>
          <w:szCs w:val="22"/>
        </w:rPr>
        <w:t>By c</w:t>
      </w:r>
      <w:r w:rsidRPr="00BB14D7">
        <w:rPr>
          <w:rFonts w:cs="Arial"/>
          <w:szCs w:val="22"/>
        </w:rPr>
        <w:t>licking on one conformance class, and then on one specific test (in the list), you can access again the corresponding ATS.</w:t>
      </w:r>
    </w:p>
    <w:p w14:paraId="18F38D4B" w14:textId="5187BC2B" w:rsidR="00897DED" w:rsidRDefault="00897DED" w:rsidP="0048616A">
      <w:pPr>
        <w:rPr>
          <w:rFonts w:cs="Arial"/>
          <w:szCs w:val="22"/>
        </w:rPr>
      </w:pPr>
    </w:p>
    <w:p w14:paraId="5F4A8ED7" w14:textId="28816951" w:rsidR="00897DED" w:rsidRPr="00897DED" w:rsidRDefault="00897DED" w:rsidP="005004A3">
      <w:pPr>
        <w:pStyle w:val="Heading2"/>
        <w:rPr>
          <w:szCs w:val="22"/>
        </w:rPr>
      </w:pPr>
      <w:bookmarkStart w:id="10" w:name="_Toc10807209"/>
      <w:r>
        <w:t>Start testing</w:t>
      </w:r>
      <w:bookmarkEnd w:id="10"/>
    </w:p>
    <w:p w14:paraId="5E807A67" w14:textId="77777777" w:rsidR="0000253B" w:rsidRPr="00BB14D7" w:rsidRDefault="0000253B" w:rsidP="0000253B">
      <w:pPr>
        <w:rPr>
          <w:rFonts w:cs="Arial"/>
          <w:szCs w:val="22"/>
        </w:rPr>
      </w:pPr>
      <w:r w:rsidRPr="00BB14D7">
        <w:rPr>
          <w:rFonts w:cs="Arial"/>
          <w:szCs w:val="22"/>
        </w:rPr>
        <w:t xml:space="preserve">The conformance classes, and their single tests, are also </w:t>
      </w:r>
      <w:r>
        <w:rPr>
          <w:rFonts w:cs="Arial"/>
          <w:szCs w:val="22"/>
        </w:rPr>
        <w:t xml:space="preserve">accessible through </w:t>
      </w:r>
      <w:r w:rsidRPr="00BB14D7">
        <w:rPr>
          <w:rFonts w:cs="Arial"/>
          <w:szCs w:val="22"/>
        </w:rPr>
        <w:t xml:space="preserve">the landing page of the </w:t>
      </w:r>
      <w:r>
        <w:rPr>
          <w:rFonts w:cs="Arial"/>
          <w:szCs w:val="22"/>
        </w:rPr>
        <w:t xml:space="preserve">INSPIRE Reference </w:t>
      </w:r>
      <w:r w:rsidRPr="00BB14D7">
        <w:rPr>
          <w:rFonts w:cs="Arial"/>
          <w:szCs w:val="22"/>
        </w:rPr>
        <w:t>Validator</w:t>
      </w:r>
      <w:r>
        <w:rPr>
          <w:rFonts w:cs="Arial"/>
          <w:szCs w:val="22"/>
        </w:rPr>
        <w:t xml:space="preserve"> at </w:t>
      </w:r>
      <w:hyperlink r:id="rId18" w:tgtFrame="_blank" w:history="1">
        <w:r w:rsidRPr="00BB14D7">
          <w:rPr>
            <w:rFonts w:cs="Arial"/>
            <w:szCs w:val="22"/>
          </w:rPr>
          <w:t>http://staging-inspire-validator.eu-west-1.elasticbeanstalk.com/etf-webapp</w:t>
        </w:r>
      </w:hyperlink>
      <w:r>
        <w:rPr>
          <w:rFonts w:cs="Arial"/>
          <w:szCs w:val="22"/>
        </w:rPr>
        <w:t xml:space="preserve"> </w:t>
      </w:r>
      <w:r w:rsidRPr="00BB14D7">
        <w:rPr>
          <w:rFonts w:cs="Arial"/>
          <w:szCs w:val="22"/>
        </w:rPr>
        <w:t>(this is the new cloud staging version, which also includes MD TG 2.0).</w:t>
      </w:r>
    </w:p>
    <w:p w14:paraId="01E49C63" w14:textId="77777777" w:rsidR="0000253B" w:rsidRPr="00BB14D7" w:rsidRDefault="0000253B" w:rsidP="0000253B">
      <w:pPr>
        <w:rPr>
          <w:rFonts w:cs="Arial"/>
          <w:szCs w:val="22"/>
        </w:rPr>
      </w:pPr>
      <w:r>
        <w:rPr>
          <w:rFonts w:cs="Arial"/>
          <w:szCs w:val="22"/>
        </w:rPr>
        <w:t>On this landing page</w:t>
      </w:r>
      <w:r w:rsidRPr="00BB14D7">
        <w:rPr>
          <w:rFonts w:cs="Arial"/>
          <w:szCs w:val="22"/>
        </w:rPr>
        <w:t>, you can:</w:t>
      </w:r>
    </w:p>
    <w:p w14:paraId="3A5022B6" w14:textId="77777777" w:rsidR="0000253B" w:rsidRPr="00DF71E6" w:rsidRDefault="0000253B" w:rsidP="0000253B">
      <w:pPr>
        <w:pStyle w:val="ListParagraph"/>
        <w:numPr>
          <w:ilvl w:val="0"/>
          <w:numId w:val="34"/>
        </w:numPr>
        <w:rPr>
          <w:rFonts w:ascii="Arial" w:hAnsi="Arial" w:cs="Arial"/>
        </w:rPr>
      </w:pPr>
      <w:r w:rsidRPr="00DF71E6">
        <w:rPr>
          <w:rFonts w:ascii="Arial" w:hAnsi="Arial" w:cs="Arial"/>
        </w:rPr>
        <w:lastRenderedPageBreak/>
        <w:t>see the 2 conformance classes under "Metadata (TG version 1.3)" and the 8 conformance classes under "Metadata (TG version 2.0) - BETA"</w:t>
      </w:r>
    </w:p>
    <w:p w14:paraId="2F50620F" w14:textId="77777777" w:rsidR="0000253B" w:rsidRPr="00DF71E6" w:rsidRDefault="0000253B" w:rsidP="0000253B">
      <w:pPr>
        <w:pStyle w:val="ListParagraph"/>
        <w:numPr>
          <w:ilvl w:val="0"/>
          <w:numId w:val="34"/>
        </w:numPr>
        <w:rPr>
          <w:rFonts w:ascii="Arial" w:hAnsi="Arial" w:cs="Arial"/>
        </w:rPr>
      </w:pPr>
      <w:r w:rsidRPr="00DF71E6">
        <w:rPr>
          <w:rFonts w:ascii="Arial" w:hAnsi="Arial" w:cs="Arial"/>
        </w:rPr>
        <w:t>select the conformance class(</w:t>
      </w:r>
      <w:proofErr w:type="spellStart"/>
      <w:r w:rsidRPr="00DF71E6">
        <w:rPr>
          <w:rFonts w:ascii="Arial" w:hAnsi="Arial" w:cs="Arial"/>
        </w:rPr>
        <w:t>es</w:t>
      </w:r>
      <w:proofErr w:type="spellEnd"/>
      <w:r w:rsidRPr="00DF71E6">
        <w:rPr>
          <w:rFonts w:ascii="Arial" w:hAnsi="Arial" w:cs="Arial"/>
        </w:rPr>
        <w:t>) you w</w:t>
      </w:r>
      <w:r>
        <w:rPr>
          <w:rFonts w:ascii="Arial" w:hAnsi="Arial" w:cs="Arial"/>
        </w:rPr>
        <w:t>ant to test, using the button on the right</w:t>
      </w:r>
    </w:p>
    <w:p w14:paraId="39CE9DEF" w14:textId="77777777" w:rsidR="0000253B" w:rsidRPr="00DF71E6" w:rsidRDefault="0000253B" w:rsidP="0000253B">
      <w:pPr>
        <w:pStyle w:val="ListParagraph"/>
        <w:numPr>
          <w:ilvl w:val="0"/>
          <w:numId w:val="34"/>
        </w:numPr>
        <w:rPr>
          <w:rFonts w:ascii="Arial" w:hAnsi="Arial" w:cs="Arial"/>
        </w:rPr>
      </w:pPr>
      <w:r w:rsidRPr="00DF71E6">
        <w:rPr>
          <w:rFonts w:ascii="Arial" w:hAnsi="Arial" w:cs="Arial"/>
        </w:rPr>
        <w:t>upload a metadata record and start the conformance test</w:t>
      </w:r>
    </w:p>
    <w:p w14:paraId="468DB46A" w14:textId="77777777" w:rsidR="0000253B" w:rsidRPr="00DF71E6" w:rsidRDefault="0000253B" w:rsidP="0000253B">
      <w:pPr>
        <w:pStyle w:val="ListParagraph"/>
        <w:numPr>
          <w:ilvl w:val="0"/>
          <w:numId w:val="34"/>
        </w:numPr>
        <w:rPr>
          <w:rFonts w:ascii="Arial" w:hAnsi="Arial" w:cs="Arial"/>
        </w:rPr>
      </w:pPr>
      <w:r w:rsidRPr="00DF71E6">
        <w:rPr>
          <w:rFonts w:ascii="Arial" w:hAnsi="Arial" w:cs="Arial"/>
        </w:rPr>
        <w:t>visualize the results</w:t>
      </w:r>
      <w:r>
        <w:rPr>
          <w:rFonts w:ascii="Arial" w:hAnsi="Arial" w:cs="Arial"/>
        </w:rPr>
        <w:t>: f</w:t>
      </w:r>
      <w:r w:rsidRPr="00DF71E6">
        <w:rPr>
          <w:rFonts w:ascii="Arial" w:hAnsi="Arial" w:cs="Arial"/>
        </w:rPr>
        <w:t>or each test</w:t>
      </w:r>
      <w:r>
        <w:rPr>
          <w:rFonts w:ascii="Arial" w:hAnsi="Arial" w:cs="Arial"/>
        </w:rPr>
        <w:t>,</w:t>
      </w:r>
      <w:r w:rsidRPr="00DF71E6">
        <w:rPr>
          <w:rFonts w:ascii="Arial" w:hAnsi="Arial" w:cs="Arial"/>
        </w:rPr>
        <w:t xml:space="preserve"> there is a link in the test report to the corresponding ATS (i.e. to its GitHub page).</w:t>
      </w:r>
    </w:p>
    <w:p w14:paraId="78431EA9" w14:textId="77777777" w:rsidR="0048616A" w:rsidRDefault="0048616A" w:rsidP="0000253B">
      <w:pPr>
        <w:rPr>
          <w:rFonts w:cs="Arial"/>
        </w:rPr>
      </w:pPr>
      <w:bookmarkStart w:id="11" w:name="_GoBack"/>
      <w:bookmarkEnd w:id="11"/>
    </w:p>
    <w:sectPr w:rsidR="0048616A" w:rsidSect="00AB337B">
      <w:footerReference w:type="even" r:id="rId19"/>
      <w:footerReference w:type="default" r:id="rId20"/>
      <w:pgSz w:w="11900" w:h="16840"/>
      <w:pgMar w:top="1440" w:right="1440" w:bottom="1440" w:left="1440"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943348" w15:done="0"/>
  <w15:commentEx w15:paraId="45651FB1" w15:done="0"/>
  <w15:commentEx w15:paraId="5DF9004A" w15:done="0"/>
  <w15:commentEx w15:paraId="0286734D" w15:done="0"/>
  <w15:commentEx w15:paraId="1CEE9504" w15:done="0"/>
  <w15:commentEx w15:paraId="3CFE87EC" w15:done="0"/>
  <w15:commentEx w15:paraId="7CFEE543" w15:done="0"/>
  <w15:commentEx w15:paraId="210E0818" w15:done="0"/>
  <w15:commentEx w15:paraId="5A6F19CF" w15:done="0"/>
  <w15:commentEx w15:paraId="0DE9507E" w15:done="0"/>
  <w15:commentEx w15:paraId="2392AFC9" w15:done="0"/>
  <w15:commentEx w15:paraId="0FAB1742" w15:done="0"/>
  <w15:commentEx w15:paraId="63EE2C5A" w15:done="0"/>
  <w15:commentEx w15:paraId="2DD8D3CC" w15:done="0"/>
  <w15:commentEx w15:paraId="4F11FF69" w15:done="0"/>
  <w15:commentEx w15:paraId="06B2DC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70C3" w14:textId="77777777" w:rsidR="00115772" w:rsidRDefault="00115772">
      <w:r>
        <w:separator/>
      </w:r>
    </w:p>
    <w:p w14:paraId="0B72D839" w14:textId="77777777" w:rsidR="00115772" w:rsidRDefault="00115772"/>
    <w:p w14:paraId="4FDDC9BD" w14:textId="77777777" w:rsidR="00115772" w:rsidRDefault="00115772"/>
    <w:p w14:paraId="0A9138FF" w14:textId="77777777" w:rsidR="00115772" w:rsidRDefault="00115772"/>
  </w:endnote>
  <w:endnote w:type="continuationSeparator" w:id="0">
    <w:p w14:paraId="55614770" w14:textId="77777777" w:rsidR="00115772" w:rsidRDefault="00115772">
      <w:r>
        <w:continuationSeparator/>
      </w:r>
    </w:p>
    <w:p w14:paraId="0FFE8762" w14:textId="77777777" w:rsidR="00115772" w:rsidRDefault="00115772"/>
    <w:p w14:paraId="329C677C" w14:textId="77777777" w:rsidR="00115772" w:rsidRDefault="00115772"/>
    <w:p w14:paraId="353AD252" w14:textId="77777777" w:rsidR="00115772" w:rsidRDefault="00115772"/>
  </w:endnote>
  <w:endnote w:type="continuationNotice" w:id="1">
    <w:p w14:paraId="117B7027" w14:textId="77777777" w:rsidR="00115772" w:rsidRDefault="001157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ヒラギノ角ゴ Pro W3">
    <w:altName w:val="MS Gothic"/>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762EE" w14:textId="77777777" w:rsidR="007A0379" w:rsidRDefault="007A0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0CD2" w14:textId="77777777" w:rsidR="007A0379" w:rsidRDefault="007A0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66BC0" w14:textId="77777777" w:rsidR="007A0379" w:rsidRDefault="007A03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D5560" w14:textId="00E38100" w:rsidR="00115772" w:rsidRDefault="00115772" w:rsidP="000C430A">
    <w:pPr>
      <w:framePr w:wrap="around" w:vAnchor="text" w:hAnchor="margin" w:xAlign="outside" w:y="1"/>
      <w:ind w:left="567" w:hanging="567"/>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00253B">
      <w:rPr>
        <w:rStyle w:val="PageNumber"/>
        <w:noProof/>
      </w:rPr>
      <w:t>18</w:t>
    </w:r>
    <w:r>
      <w:rPr>
        <w:rStyle w:val="PageNumber"/>
      </w:rPr>
      <w:fldChar w:fldCharType="end"/>
    </w:r>
    <w:r>
      <w:rPr>
        <w:rStyle w:val="PageNumber"/>
      </w:rPr>
      <w:tab/>
      <w:t>INSPIRE Monitoring Indicators – Guidelines</w:t>
    </w:r>
  </w:p>
  <w:p w14:paraId="2AA112B4" w14:textId="77777777" w:rsidR="00115772" w:rsidRPr="00DA1EC3" w:rsidRDefault="00115772" w:rsidP="000621DE">
    <w:pPr>
      <w:tabs>
        <w:tab w:val="left" w:pos="9132"/>
      </w:tabs>
      <w:ind w:right="360" w:firstLine="360"/>
      <w:jc w:val="right"/>
    </w:pPr>
  </w:p>
  <w:p w14:paraId="00573A2B" w14:textId="77777777" w:rsidR="00115772" w:rsidRDefault="00115772" w:rsidP="000621D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6953F" w14:textId="77777777" w:rsidR="00115772" w:rsidRDefault="00115772" w:rsidP="00357E5E"/>
  <w:p w14:paraId="3F285758" w14:textId="77777777" w:rsidR="00115772" w:rsidRDefault="00115772" w:rsidP="00357E5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F561E" w14:textId="77777777" w:rsidR="00115772" w:rsidRDefault="00115772">
      <w:r>
        <w:separator/>
      </w:r>
    </w:p>
    <w:p w14:paraId="3F47A6D9" w14:textId="77777777" w:rsidR="00115772" w:rsidRDefault="00115772"/>
    <w:p w14:paraId="3AD8A6AD" w14:textId="77777777" w:rsidR="00115772" w:rsidRDefault="00115772"/>
    <w:p w14:paraId="247F1E81" w14:textId="77777777" w:rsidR="00115772" w:rsidRDefault="00115772"/>
  </w:footnote>
  <w:footnote w:type="continuationSeparator" w:id="0">
    <w:p w14:paraId="1D39EABE" w14:textId="77777777" w:rsidR="00115772" w:rsidRDefault="00115772">
      <w:r>
        <w:continuationSeparator/>
      </w:r>
    </w:p>
    <w:p w14:paraId="51EF2D99" w14:textId="77777777" w:rsidR="00115772" w:rsidRDefault="00115772"/>
    <w:p w14:paraId="5FB537B9" w14:textId="77777777" w:rsidR="00115772" w:rsidRDefault="00115772"/>
    <w:p w14:paraId="462798B0" w14:textId="77777777" w:rsidR="00115772" w:rsidRDefault="00115772"/>
  </w:footnote>
  <w:footnote w:type="continuationNotice" w:id="1">
    <w:p w14:paraId="00C4ACC6" w14:textId="77777777" w:rsidR="00115772" w:rsidRDefault="00115772">
      <w:pPr>
        <w:spacing w:before="0" w:after="0"/>
      </w:pPr>
    </w:p>
  </w:footnote>
  <w:footnote w:id="2">
    <w:p w14:paraId="457E2B37" w14:textId="1C653D47" w:rsidR="00115772" w:rsidRDefault="00115772">
      <w:pPr>
        <w:pStyle w:val="FootnoteText"/>
      </w:pPr>
      <w:r>
        <w:rPr>
          <w:rStyle w:val="FootnoteReference"/>
        </w:rPr>
        <w:footnoteRef/>
      </w:r>
      <w:r>
        <w:t xml:space="preserve"> </w:t>
      </w:r>
      <w:r w:rsidRPr="00C25C7C">
        <w:rPr>
          <w:rFonts w:cs="Arial"/>
        </w:rPr>
        <w:t>http://inspire-geoportal.ec.europa.eu/resources/INSPIREResourcesReports/resourcesReport_2019-01-15/).</w:t>
      </w:r>
    </w:p>
  </w:footnote>
  <w:footnote w:id="3">
    <w:p w14:paraId="2837F809" w14:textId="696CD286" w:rsidR="00115772" w:rsidRPr="007C1693" w:rsidRDefault="00115772" w:rsidP="007C1693">
      <w:pPr>
        <w:pStyle w:val="FootnoteText"/>
      </w:pPr>
      <w:r>
        <w:rPr>
          <w:rStyle w:val="FootnoteReference"/>
        </w:rPr>
        <w:footnoteRef/>
      </w:r>
      <w:r>
        <w:t xml:space="preserve"> </w:t>
      </w:r>
      <w:hyperlink r:id="rId1" w:history="1">
        <w:r w:rsidRPr="0030673B">
          <w:rPr>
            <w:rStyle w:val="Hyperlink"/>
          </w:rPr>
          <w:t>http://inspire.ec.europa.eu/metadata-codelist/PriorityDataset/</w:t>
        </w:r>
      </w:hyperlink>
      <w:r>
        <w:t xml:space="preserve"> </w:t>
      </w:r>
    </w:p>
  </w:footnote>
  <w:footnote w:id="4">
    <w:p w14:paraId="7A8CD325" w14:textId="0EB81653" w:rsidR="00115772" w:rsidRPr="007C1693" w:rsidRDefault="00115772">
      <w:pPr>
        <w:pStyle w:val="FootnoteText"/>
        <w:rPr>
          <w:lang w:val="en-US"/>
        </w:rPr>
      </w:pPr>
      <w:r>
        <w:rPr>
          <w:rStyle w:val="FootnoteReference"/>
        </w:rPr>
        <w:footnoteRef/>
      </w:r>
      <w:r>
        <w:t xml:space="preserve"> </w:t>
      </w:r>
      <w:r w:rsidRPr="007C1693">
        <w:t>https://ies-svn.jrc.ec.europa.eu/projects/2016-5/wiki/Implementation</w:t>
      </w:r>
    </w:p>
  </w:footnote>
  <w:footnote w:id="5">
    <w:p w14:paraId="58777FB4" w14:textId="4F1094B5" w:rsidR="00115772" w:rsidRPr="007C1693" w:rsidRDefault="00115772">
      <w:pPr>
        <w:pStyle w:val="FootnoteText"/>
        <w:rPr>
          <w:lang w:val="en-US"/>
        </w:rPr>
      </w:pPr>
      <w:r>
        <w:rPr>
          <w:rStyle w:val="FootnoteReference"/>
        </w:rPr>
        <w:footnoteRef/>
      </w:r>
      <w:r>
        <w:t xml:space="preserve"> </w:t>
      </w:r>
      <w:r w:rsidRPr="007C1693">
        <w:t>http://inspire.ec.europa.eu/metadata-codelist/SpatialScope</w:t>
      </w:r>
    </w:p>
  </w:footnote>
  <w:footnote w:id="6">
    <w:p w14:paraId="2F1457AB" w14:textId="0A7F9726" w:rsidR="00115772" w:rsidRPr="007C1693" w:rsidRDefault="00115772">
      <w:pPr>
        <w:pStyle w:val="FootnoteText"/>
      </w:pPr>
      <w:r>
        <w:rPr>
          <w:rStyle w:val="FootnoteReference"/>
        </w:rPr>
        <w:footnoteRef/>
      </w:r>
      <w:r>
        <w:t xml:space="preserve"> </w:t>
      </w:r>
      <w:r w:rsidRPr="007C1693">
        <w:t>http://inspire.ec.europa.eu/metadata-codelist/SpatialScope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1D80" w14:textId="77777777" w:rsidR="00115772" w:rsidRDefault="00115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w:color w:val="auto"/>
      </w:rPr>
    </w:pPr>
  </w:p>
  <w:p w14:paraId="394B9DDB" w14:textId="77777777" w:rsidR="00115772" w:rsidRDefault="00115772"/>
  <w:p w14:paraId="24F3A9AF" w14:textId="77777777" w:rsidR="00115772" w:rsidRDefault="001157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15898" w14:textId="77777777" w:rsidR="00115772" w:rsidRDefault="00115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w:color w:val="auto"/>
      </w:rPr>
    </w:pPr>
  </w:p>
  <w:p w14:paraId="1450A49A" w14:textId="77777777" w:rsidR="00115772" w:rsidRDefault="00115772"/>
  <w:p w14:paraId="74C75234" w14:textId="77777777" w:rsidR="00115772" w:rsidRDefault="001157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3033" w14:textId="290A8E52" w:rsidR="00115772" w:rsidRDefault="00115772" w:rsidP="006F274E">
    <w:pPr>
      <w:pStyle w:val="Header"/>
      <w:jc w:val="center"/>
    </w:pPr>
    <w:r>
      <w:ptab w:relativeTo="margin" w:alignment="center" w:leader="none"/>
    </w:r>
    <w:r>
      <w:ptab w:relativeTo="margin" w:alignment="right" w:leader="none"/>
    </w:r>
    <w:r w:rsidRPr="002530D2">
      <w:rPr>
        <w:rFonts w:cs="Arial"/>
        <w:b/>
        <w:sz w:val="20"/>
        <w:szCs w:val="20"/>
        <w:lang w:eastAsia="zh-CN"/>
      </w:rPr>
      <w:t>MIG/</w:t>
    </w:r>
    <w:r>
      <w:rPr>
        <w:rFonts w:cs="Arial"/>
        <w:b/>
        <w:sz w:val="20"/>
        <w:szCs w:val="20"/>
        <w:lang w:eastAsia="zh-CN"/>
      </w:rPr>
      <w:t>10</w:t>
    </w:r>
    <w:r w:rsidRPr="002530D2">
      <w:rPr>
        <w:rFonts w:cs="Arial"/>
        <w:b/>
        <w:sz w:val="20"/>
        <w:szCs w:val="20"/>
        <w:lang w:eastAsia="zh-CN"/>
      </w:rPr>
      <w:t>/201</w:t>
    </w:r>
    <w:r>
      <w:rPr>
        <w:rFonts w:cs="Arial"/>
        <w:b/>
        <w:sz w:val="20"/>
        <w:szCs w:val="20"/>
        <w:lang w:eastAsia="zh-CN"/>
      </w:rPr>
      <w:t>9</w:t>
    </w:r>
    <w:r w:rsidRPr="002530D2">
      <w:rPr>
        <w:rFonts w:cs="Arial"/>
        <w:b/>
        <w:sz w:val="20"/>
        <w:szCs w:val="20"/>
        <w:lang w:eastAsia="zh-CN"/>
      </w:rPr>
      <w:t>/DOC</w:t>
    </w:r>
    <w:r>
      <w:rPr>
        <w:rFonts w:cs="Arial"/>
        <w:b/>
        <w:sz w:val="20"/>
        <w:szCs w:val="20"/>
        <w:lang w:eastAsia="zh-CN"/>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9D2A4F6"/>
    <w:lvl w:ilvl="0">
      <w:start w:val="1"/>
      <w:numFmt w:val="decimal"/>
      <w:pStyle w:val="Numberedtext"/>
      <w:isLgl/>
      <w:lvlText w:val="%1."/>
      <w:lvlJc w:val="left"/>
      <w:pPr>
        <w:tabs>
          <w:tab w:val="num" w:pos="-12"/>
        </w:tabs>
        <w:ind w:left="-12" w:firstLine="360"/>
      </w:pPr>
      <w:rPr>
        <w:rFonts w:hint="default"/>
        <w:color w:val="000000"/>
        <w:position w:val="0"/>
        <w:sz w:val="24"/>
      </w:rPr>
    </w:lvl>
    <w:lvl w:ilvl="1">
      <w:start w:val="1"/>
      <w:numFmt w:val="decimal"/>
      <w:isLgl/>
      <w:suff w:val="nothing"/>
      <w:lvlText w:val="%1.%2."/>
      <w:lvlJc w:val="left"/>
      <w:pPr>
        <w:ind w:left="-360" w:firstLine="720"/>
      </w:pPr>
      <w:rPr>
        <w:rFonts w:hint="default"/>
        <w:color w:val="000000"/>
        <w:position w:val="0"/>
        <w:sz w:val="24"/>
      </w:rPr>
    </w:lvl>
    <w:lvl w:ilvl="2">
      <w:start w:val="1"/>
      <w:numFmt w:val="decimal"/>
      <w:isLgl/>
      <w:suff w:val="nothing"/>
      <w:lvlText w:val="%1.%2.%3."/>
      <w:lvlJc w:val="left"/>
      <w:pPr>
        <w:ind w:left="-360" w:firstLine="1080"/>
      </w:pPr>
      <w:rPr>
        <w:rFonts w:hint="default"/>
        <w:color w:val="000000"/>
        <w:position w:val="0"/>
        <w:sz w:val="24"/>
      </w:rPr>
    </w:lvl>
    <w:lvl w:ilvl="3">
      <w:start w:val="1"/>
      <w:numFmt w:val="decimal"/>
      <w:isLgl/>
      <w:suff w:val="nothing"/>
      <w:lvlText w:val="%1.%2.%3.%4."/>
      <w:lvlJc w:val="left"/>
      <w:pPr>
        <w:ind w:left="-360" w:firstLine="1080"/>
      </w:pPr>
      <w:rPr>
        <w:rFonts w:hint="default"/>
        <w:color w:val="000000"/>
        <w:position w:val="0"/>
        <w:sz w:val="24"/>
      </w:rPr>
    </w:lvl>
    <w:lvl w:ilvl="4">
      <w:start w:val="1"/>
      <w:numFmt w:val="decimal"/>
      <w:isLgl/>
      <w:suff w:val="nothing"/>
      <w:lvlText w:val="%1.%2.%3.%4.%5."/>
      <w:lvlJc w:val="left"/>
      <w:pPr>
        <w:ind w:left="-360" w:firstLine="1440"/>
      </w:pPr>
      <w:rPr>
        <w:rFonts w:hint="default"/>
        <w:color w:val="000000"/>
        <w:position w:val="0"/>
        <w:sz w:val="24"/>
      </w:rPr>
    </w:lvl>
    <w:lvl w:ilvl="5">
      <w:start w:val="1"/>
      <w:numFmt w:val="decimal"/>
      <w:isLgl/>
      <w:suff w:val="nothing"/>
      <w:lvlText w:val="%1.%2.%3.%4.%5.%6."/>
      <w:lvlJc w:val="left"/>
      <w:pPr>
        <w:ind w:left="-360" w:firstLine="1440"/>
      </w:pPr>
      <w:rPr>
        <w:rFonts w:hint="default"/>
        <w:color w:val="000000"/>
        <w:position w:val="0"/>
        <w:sz w:val="24"/>
      </w:rPr>
    </w:lvl>
    <w:lvl w:ilvl="6">
      <w:start w:val="1"/>
      <w:numFmt w:val="decimal"/>
      <w:isLgl/>
      <w:suff w:val="nothing"/>
      <w:lvlText w:val="%1.%2.%3.%4.%5.%6.%7."/>
      <w:lvlJc w:val="left"/>
      <w:pPr>
        <w:ind w:left="-360" w:firstLine="1800"/>
      </w:pPr>
      <w:rPr>
        <w:rFonts w:hint="default"/>
        <w:color w:val="000000"/>
        <w:position w:val="0"/>
        <w:sz w:val="24"/>
      </w:rPr>
    </w:lvl>
    <w:lvl w:ilvl="7">
      <w:start w:val="1"/>
      <w:numFmt w:val="decimal"/>
      <w:isLgl/>
      <w:suff w:val="nothing"/>
      <w:lvlText w:val="%1.%2.%3.%4.%5.%6.%7.%8."/>
      <w:lvlJc w:val="left"/>
      <w:pPr>
        <w:ind w:left="-360" w:firstLine="1800"/>
      </w:pPr>
      <w:rPr>
        <w:rFonts w:hint="default"/>
        <w:color w:val="000000"/>
        <w:position w:val="0"/>
        <w:sz w:val="24"/>
      </w:rPr>
    </w:lvl>
    <w:lvl w:ilvl="8">
      <w:start w:val="1"/>
      <w:numFmt w:val="decimal"/>
      <w:isLgl/>
      <w:suff w:val="nothing"/>
      <w:lvlText w:val="%1.%2.%3.%4.%5.%6.%7.%8.%9."/>
      <w:lvlJc w:val="left"/>
      <w:pPr>
        <w:ind w:left="-360" w:firstLine="2160"/>
      </w:pPr>
      <w:rPr>
        <w:rFonts w:hint="default"/>
        <w:color w:val="000000"/>
        <w:position w:val="0"/>
        <w:sz w:val="24"/>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F411F2"/>
    <w:multiLevelType w:val="hybridMultilevel"/>
    <w:tmpl w:val="153CE390"/>
    <w:lvl w:ilvl="0" w:tplc="ADBA598A">
      <w:start w:val="4"/>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084ACD"/>
    <w:multiLevelType w:val="hybridMultilevel"/>
    <w:tmpl w:val="951E0E68"/>
    <w:lvl w:ilvl="0" w:tplc="ADBA598A">
      <w:start w:val="2"/>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6">
    <w:nsid w:val="07D221EA"/>
    <w:multiLevelType w:val="hybridMultilevel"/>
    <w:tmpl w:val="1062D990"/>
    <w:lvl w:ilvl="0" w:tplc="30767B14">
      <w:start w:val="1"/>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E81E7F"/>
    <w:multiLevelType w:val="hybridMultilevel"/>
    <w:tmpl w:val="3ACE7CCE"/>
    <w:lvl w:ilvl="0" w:tplc="ADBA598A">
      <w:start w:val="5"/>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202F41"/>
    <w:multiLevelType w:val="hybridMultilevel"/>
    <w:tmpl w:val="843C993A"/>
    <w:lvl w:ilvl="0" w:tplc="BE2AE494">
      <w:start w:val="1"/>
      <w:numFmt w:val="decimal"/>
      <w:pStyle w:val="Heading5"/>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A0245C"/>
    <w:multiLevelType w:val="multilevel"/>
    <w:tmpl w:val="37148252"/>
    <w:lvl w:ilvl="0">
      <w:start w:val="1"/>
      <w:numFmt w:val="decimal"/>
      <w:lvlText w:val="%1."/>
      <w:lvlJc w:val="left"/>
      <w:pPr>
        <w:ind w:left="810" w:hanging="45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14885F8E"/>
    <w:multiLevelType w:val="hybridMultilevel"/>
    <w:tmpl w:val="4ACE4AF4"/>
    <w:lvl w:ilvl="0" w:tplc="ADBA598A">
      <w:start w:val="10"/>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DE3D91"/>
    <w:multiLevelType w:val="hybridMultilevel"/>
    <w:tmpl w:val="6382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DA1E33"/>
    <w:multiLevelType w:val="hybridMultilevel"/>
    <w:tmpl w:val="A3FA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90665"/>
    <w:multiLevelType w:val="hybridMultilevel"/>
    <w:tmpl w:val="655E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9F670E"/>
    <w:multiLevelType w:val="hybridMultilevel"/>
    <w:tmpl w:val="A242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D325DE"/>
    <w:multiLevelType w:val="hybridMultilevel"/>
    <w:tmpl w:val="FEB4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43B60"/>
    <w:multiLevelType w:val="hybridMultilevel"/>
    <w:tmpl w:val="B6B4BEA0"/>
    <w:lvl w:ilvl="0" w:tplc="F14690A6">
      <w:start w:val="3"/>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353FCD"/>
    <w:multiLevelType w:val="hybridMultilevel"/>
    <w:tmpl w:val="52C0F888"/>
    <w:lvl w:ilvl="0" w:tplc="46CE9CE4">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A65B24"/>
    <w:multiLevelType w:val="hybridMultilevel"/>
    <w:tmpl w:val="924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DD60D8"/>
    <w:multiLevelType w:val="hybridMultilevel"/>
    <w:tmpl w:val="82B8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E43F6E"/>
    <w:multiLevelType w:val="hybridMultilevel"/>
    <w:tmpl w:val="AA702F3E"/>
    <w:lvl w:ilvl="0" w:tplc="D188C666">
      <w:start w:val="10"/>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87DF0"/>
    <w:multiLevelType w:val="hybridMultilevel"/>
    <w:tmpl w:val="645EE05A"/>
    <w:lvl w:ilvl="0" w:tplc="ADBA598A">
      <w:start w:val="4"/>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9C31EF"/>
    <w:multiLevelType w:val="hybridMultilevel"/>
    <w:tmpl w:val="6E4E21CA"/>
    <w:lvl w:ilvl="0" w:tplc="ADBA598A">
      <w:start w:val="10"/>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1404B4"/>
    <w:multiLevelType w:val="hybridMultilevel"/>
    <w:tmpl w:val="CEDA29B4"/>
    <w:lvl w:ilvl="0" w:tplc="ADBA598A">
      <w:start w:val="1"/>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623D5D"/>
    <w:multiLevelType w:val="hybridMultilevel"/>
    <w:tmpl w:val="FA727442"/>
    <w:lvl w:ilvl="0" w:tplc="ADBA598A">
      <w:start w:val="6"/>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001044"/>
    <w:multiLevelType w:val="hybridMultilevel"/>
    <w:tmpl w:val="41DCE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1E2296"/>
    <w:multiLevelType w:val="hybridMultilevel"/>
    <w:tmpl w:val="E86C2862"/>
    <w:lvl w:ilvl="0" w:tplc="ADBA598A">
      <w:start w:val="10"/>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613A37"/>
    <w:multiLevelType w:val="hybridMultilevel"/>
    <w:tmpl w:val="3656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AB4C54"/>
    <w:multiLevelType w:val="multilevel"/>
    <w:tmpl w:val="FD146C2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418"/>
        </w:tabs>
        <w:ind w:left="1418" w:hanging="1418"/>
      </w:pPr>
      <w:rPr>
        <w:rFonts w:hint="default"/>
      </w:rPr>
    </w:lvl>
    <w:lvl w:ilvl="5">
      <w:start w:val="1"/>
      <w:numFmt w:val="decimal"/>
      <w:lvlText w:val="Photo %1.%6"/>
      <w:lvlJc w:val="left"/>
      <w:pPr>
        <w:tabs>
          <w:tab w:val="num" w:pos="1418"/>
        </w:tabs>
        <w:ind w:left="1418" w:hanging="1418"/>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18"/>
        </w:tabs>
        <w:ind w:left="1418" w:hanging="1418"/>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ABB67EA"/>
    <w:multiLevelType w:val="hybridMultilevel"/>
    <w:tmpl w:val="81BCA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5A73C5"/>
    <w:multiLevelType w:val="multilevel"/>
    <w:tmpl w:val="37148252"/>
    <w:lvl w:ilvl="0">
      <w:start w:val="1"/>
      <w:numFmt w:val="decimal"/>
      <w:lvlText w:val="%1."/>
      <w:lvlJc w:val="left"/>
      <w:pPr>
        <w:ind w:left="810" w:hanging="45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70C807E9"/>
    <w:multiLevelType w:val="hybridMultilevel"/>
    <w:tmpl w:val="AEA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645C09"/>
    <w:multiLevelType w:val="hybridMultilevel"/>
    <w:tmpl w:val="18303782"/>
    <w:lvl w:ilvl="0" w:tplc="DDBE4E08">
      <w:start w:val="1"/>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3267B0"/>
    <w:multiLevelType w:val="hybridMultilevel"/>
    <w:tmpl w:val="52D65B3A"/>
    <w:lvl w:ilvl="0" w:tplc="31FC07B0">
      <w:start w:val="1"/>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8"/>
  </w:num>
  <w:num w:numId="4">
    <w:abstractNumId w:val="8"/>
  </w:num>
  <w:num w:numId="5">
    <w:abstractNumId w:val="19"/>
  </w:num>
  <w:num w:numId="6">
    <w:abstractNumId w:val="20"/>
  </w:num>
  <w:num w:numId="7">
    <w:abstractNumId w:val="22"/>
  </w:num>
  <w:num w:numId="8">
    <w:abstractNumId w:val="24"/>
  </w:num>
  <w:num w:numId="9">
    <w:abstractNumId w:val="23"/>
  </w:num>
  <w:num w:numId="10">
    <w:abstractNumId w:val="4"/>
  </w:num>
  <w:num w:numId="11">
    <w:abstractNumId w:val="21"/>
  </w:num>
  <w:num w:numId="12">
    <w:abstractNumId w:val="3"/>
  </w:num>
  <w:num w:numId="13">
    <w:abstractNumId w:val="10"/>
  </w:num>
  <w:num w:numId="14">
    <w:abstractNumId w:val="26"/>
  </w:num>
  <w:num w:numId="15">
    <w:abstractNumId w:val="7"/>
  </w:num>
  <w:num w:numId="16">
    <w:abstractNumId w:val="32"/>
  </w:num>
  <w:num w:numId="17">
    <w:abstractNumId w:val="6"/>
  </w:num>
  <w:num w:numId="18">
    <w:abstractNumId w:val="33"/>
  </w:num>
  <w:num w:numId="19">
    <w:abstractNumId w:val="28"/>
  </w:num>
  <w:num w:numId="20">
    <w:abstractNumId w:val="28"/>
  </w:num>
  <w:num w:numId="21">
    <w:abstractNumId w:val="28"/>
  </w:num>
  <w:num w:numId="22">
    <w:abstractNumId w:val="16"/>
  </w:num>
  <w:num w:numId="23">
    <w:abstractNumId w:val="9"/>
  </w:num>
  <w:num w:numId="24">
    <w:abstractNumId w:val="13"/>
  </w:num>
  <w:num w:numId="25">
    <w:abstractNumId w:val="12"/>
  </w:num>
  <w:num w:numId="26">
    <w:abstractNumId w:val="15"/>
  </w:num>
  <w:num w:numId="27">
    <w:abstractNumId w:val="30"/>
  </w:num>
  <w:num w:numId="28">
    <w:abstractNumId w:val="31"/>
  </w:num>
  <w:num w:numId="29">
    <w:abstractNumId w:val="18"/>
  </w:num>
  <w:num w:numId="30">
    <w:abstractNumId w:val="14"/>
  </w:num>
  <w:num w:numId="31">
    <w:abstractNumId w:val="28"/>
  </w:num>
  <w:num w:numId="32">
    <w:abstractNumId w:val="11"/>
  </w:num>
  <w:num w:numId="33">
    <w:abstractNumId w:val="17"/>
  </w:num>
  <w:num w:numId="34">
    <w:abstractNumId w:val="27"/>
  </w:num>
  <w:num w:numId="35">
    <w:abstractNumId w:val="25"/>
  </w:num>
  <w:num w:numId="36">
    <w:abstractNumId w:val="2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Miguel Rubio Iglesias">
    <w15:presenceInfo w15:providerId="AD" w15:userId="S-1-5-21-60974162-2072338585-636688714-14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ENSE 2 REPORT"/>
  </w:docVars>
  <w:rsids>
    <w:rsidRoot w:val="00773EF4"/>
    <w:rsid w:val="00000CE8"/>
    <w:rsid w:val="0000253B"/>
    <w:rsid w:val="00003C42"/>
    <w:rsid w:val="000062A0"/>
    <w:rsid w:val="00012358"/>
    <w:rsid w:val="00014685"/>
    <w:rsid w:val="00014FDD"/>
    <w:rsid w:val="00017C01"/>
    <w:rsid w:val="00020F09"/>
    <w:rsid w:val="00021551"/>
    <w:rsid w:val="0002707F"/>
    <w:rsid w:val="00032B1C"/>
    <w:rsid w:val="00035E84"/>
    <w:rsid w:val="00040DBF"/>
    <w:rsid w:val="00043A34"/>
    <w:rsid w:val="00043D03"/>
    <w:rsid w:val="00050431"/>
    <w:rsid w:val="00053975"/>
    <w:rsid w:val="00056CD7"/>
    <w:rsid w:val="00057C7B"/>
    <w:rsid w:val="000621DE"/>
    <w:rsid w:val="00067CA1"/>
    <w:rsid w:val="0008474F"/>
    <w:rsid w:val="00086C67"/>
    <w:rsid w:val="00090531"/>
    <w:rsid w:val="00091034"/>
    <w:rsid w:val="00094357"/>
    <w:rsid w:val="000A377B"/>
    <w:rsid w:val="000A57CD"/>
    <w:rsid w:val="000A59CD"/>
    <w:rsid w:val="000A6289"/>
    <w:rsid w:val="000A7BF1"/>
    <w:rsid w:val="000B16FF"/>
    <w:rsid w:val="000B1F69"/>
    <w:rsid w:val="000B2B3C"/>
    <w:rsid w:val="000B3D4B"/>
    <w:rsid w:val="000B5CA2"/>
    <w:rsid w:val="000B6F60"/>
    <w:rsid w:val="000C1A85"/>
    <w:rsid w:val="000C430A"/>
    <w:rsid w:val="000D11C3"/>
    <w:rsid w:val="000D63B6"/>
    <w:rsid w:val="000D70B1"/>
    <w:rsid w:val="000E4096"/>
    <w:rsid w:val="000E77C5"/>
    <w:rsid w:val="000F5BE2"/>
    <w:rsid w:val="000F66DF"/>
    <w:rsid w:val="000F7AE7"/>
    <w:rsid w:val="001048C0"/>
    <w:rsid w:val="00104919"/>
    <w:rsid w:val="001054A9"/>
    <w:rsid w:val="001126E1"/>
    <w:rsid w:val="001144CE"/>
    <w:rsid w:val="00115772"/>
    <w:rsid w:val="00115891"/>
    <w:rsid w:val="00116865"/>
    <w:rsid w:val="00117187"/>
    <w:rsid w:val="00120058"/>
    <w:rsid w:val="00120955"/>
    <w:rsid w:val="00122370"/>
    <w:rsid w:val="0012481B"/>
    <w:rsid w:val="00125DDC"/>
    <w:rsid w:val="00126260"/>
    <w:rsid w:val="00130960"/>
    <w:rsid w:val="00132663"/>
    <w:rsid w:val="0013305B"/>
    <w:rsid w:val="0013329E"/>
    <w:rsid w:val="00135B4E"/>
    <w:rsid w:val="00135F1A"/>
    <w:rsid w:val="001430BD"/>
    <w:rsid w:val="00143C94"/>
    <w:rsid w:val="00143FCE"/>
    <w:rsid w:val="001476C8"/>
    <w:rsid w:val="001502A2"/>
    <w:rsid w:val="00152321"/>
    <w:rsid w:val="00153B67"/>
    <w:rsid w:val="001540C9"/>
    <w:rsid w:val="00154337"/>
    <w:rsid w:val="001557F7"/>
    <w:rsid w:val="00155BC0"/>
    <w:rsid w:val="00155D6C"/>
    <w:rsid w:val="00156B39"/>
    <w:rsid w:val="0016164E"/>
    <w:rsid w:val="00171118"/>
    <w:rsid w:val="00172472"/>
    <w:rsid w:val="001745F5"/>
    <w:rsid w:val="0017665B"/>
    <w:rsid w:val="00180E95"/>
    <w:rsid w:val="00182D21"/>
    <w:rsid w:val="001834C0"/>
    <w:rsid w:val="00185F05"/>
    <w:rsid w:val="00186491"/>
    <w:rsid w:val="001877FD"/>
    <w:rsid w:val="001961F0"/>
    <w:rsid w:val="00197FD7"/>
    <w:rsid w:val="001A1EFA"/>
    <w:rsid w:val="001A2D8E"/>
    <w:rsid w:val="001A6FB2"/>
    <w:rsid w:val="001A7CFA"/>
    <w:rsid w:val="001B0055"/>
    <w:rsid w:val="001B05C3"/>
    <w:rsid w:val="001B2B13"/>
    <w:rsid w:val="001B3CDD"/>
    <w:rsid w:val="001B6442"/>
    <w:rsid w:val="001B6DC3"/>
    <w:rsid w:val="001C403E"/>
    <w:rsid w:val="001C6C24"/>
    <w:rsid w:val="001C7139"/>
    <w:rsid w:val="001D0E79"/>
    <w:rsid w:val="001D2F3A"/>
    <w:rsid w:val="001D3266"/>
    <w:rsid w:val="001D659E"/>
    <w:rsid w:val="001D6D25"/>
    <w:rsid w:val="001E285F"/>
    <w:rsid w:val="001E49AE"/>
    <w:rsid w:val="001E5A09"/>
    <w:rsid w:val="001E7756"/>
    <w:rsid w:val="001F0A63"/>
    <w:rsid w:val="001F1E83"/>
    <w:rsid w:val="001F3723"/>
    <w:rsid w:val="001F78FE"/>
    <w:rsid w:val="00205266"/>
    <w:rsid w:val="00205D8B"/>
    <w:rsid w:val="00206973"/>
    <w:rsid w:val="00210618"/>
    <w:rsid w:val="002126BE"/>
    <w:rsid w:val="00212BF7"/>
    <w:rsid w:val="00220D91"/>
    <w:rsid w:val="002221E7"/>
    <w:rsid w:val="00223593"/>
    <w:rsid w:val="00225EC0"/>
    <w:rsid w:val="00226AD2"/>
    <w:rsid w:val="00231252"/>
    <w:rsid w:val="002318B7"/>
    <w:rsid w:val="00234F18"/>
    <w:rsid w:val="0024267D"/>
    <w:rsid w:val="0024272E"/>
    <w:rsid w:val="00242DC4"/>
    <w:rsid w:val="00244996"/>
    <w:rsid w:val="00247250"/>
    <w:rsid w:val="00262DCB"/>
    <w:rsid w:val="00267E31"/>
    <w:rsid w:val="0027190E"/>
    <w:rsid w:val="002721A0"/>
    <w:rsid w:val="00274C71"/>
    <w:rsid w:val="002750FA"/>
    <w:rsid w:val="002767B3"/>
    <w:rsid w:val="00283045"/>
    <w:rsid w:val="00290EA1"/>
    <w:rsid w:val="00291523"/>
    <w:rsid w:val="002934AD"/>
    <w:rsid w:val="0029372E"/>
    <w:rsid w:val="0029500B"/>
    <w:rsid w:val="00296597"/>
    <w:rsid w:val="00297145"/>
    <w:rsid w:val="002A30B5"/>
    <w:rsid w:val="002A7AF2"/>
    <w:rsid w:val="002B0300"/>
    <w:rsid w:val="002B09A0"/>
    <w:rsid w:val="002B4105"/>
    <w:rsid w:val="002B4F04"/>
    <w:rsid w:val="002B6EBF"/>
    <w:rsid w:val="002C03A9"/>
    <w:rsid w:val="002D5300"/>
    <w:rsid w:val="002D5319"/>
    <w:rsid w:val="002D5654"/>
    <w:rsid w:val="002D5B02"/>
    <w:rsid w:val="002D6FA5"/>
    <w:rsid w:val="002E52F6"/>
    <w:rsid w:val="002F02E2"/>
    <w:rsid w:val="002F182A"/>
    <w:rsid w:val="002F1916"/>
    <w:rsid w:val="002F3F0A"/>
    <w:rsid w:val="002F49C1"/>
    <w:rsid w:val="0030760E"/>
    <w:rsid w:val="00307C72"/>
    <w:rsid w:val="003122C3"/>
    <w:rsid w:val="00315D23"/>
    <w:rsid w:val="00321B38"/>
    <w:rsid w:val="003221FD"/>
    <w:rsid w:val="00324847"/>
    <w:rsid w:val="00326EB5"/>
    <w:rsid w:val="003321D9"/>
    <w:rsid w:val="003356B0"/>
    <w:rsid w:val="003415D4"/>
    <w:rsid w:val="00342897"/>
    <w:rsid w:val="00343ED8"/>
    <w:rsid w:val="00344870"/>
    <w:rsid w:val="00346DC0"/>
    <w:rsid w:val="0034769F"/>
    <w:rsid w:val="00347E80"/>
    <w:rsid w:val="00350010"/>
    <w:rsid w:val="00350D12"/>
    <w:rsid w:val="003570DF"/>
    <w:rsid w:val="0035738D"/>
    <w:rsid w:val="00357E5E"/>
    <w:rsid w:val="00361BBF"/>
    <w:rsid w:val="00362DF5"/>
    <w:rsid w:val="00362F82"/>
    <w:rsid w:val="0037079A"/>
    <w:rsid w:val="003749E9"/>
    <w:rsid w:val="00374F4A"/>
    <w:rsid w:val="00374FB0"/>
    <w:rsid w:val="00382158"/>
    <w:rsid w:val="00383615"/>
    <w:rsid w:val="003935C9"/>
    <w:rsid w:val="003A11EA"/>
    <w:rsid w:val="003A1D5A"/>
    <w:rsid w:val="003A1E36"/>
    <w:rsid w:val="003A207D"/>
    <w:rsid w:val="003A3BB6"/>
    <w:rsid w:val="003B31CB"/>
    <w:rsid w:val="003B387E"/>
    <w:rsid w:val="003B4EAE"/>
    <w:rsid w:val="003B7C15"/>
    <w:rsid w:val="003D1D7C"/>
    <w:rsid w:val="003D3C0E"/>
    <w:rsid w:val="003D51FC"/>
    <w:rsid w:val="003D615A"/>
    <w:rsid w:val="003D7B68"/>
    <w:rsid w:val="003E39C2"/>
    <w:rsid w:val="003E679F"/>
    <w:rsid w:val="003F1B6C"/>
    <w:rsid w:val="003F3443"/>
    <w:rsid w:val="003F7312"/>
    <w:rsid w:val="003F7413"/>
    <w:rsid w:val="00402EE1"/>
    <w:rsid w:val="00402F02"/>
    <w:rsid w:val="00403917"/>
    <w:rsid w:val="004058A0"/>
    <w:rsid w:val="00405EF4"/>
    <w:rsid w:val="00411DBC"/>
    <w:rsid w:val="00412069"/>
    <w:rsid w:val="00413808"/>
    <w:rsid w:val="004258D9"/>
    <w:rsid w:val="0042757D"/>
    <w:rsid w:val="004278F7"/>
    <w:rsid w:val="00431EAB"/>
    <w:rsid w:val="0043388A"/>
    <w:rsid w:val="00436D70"/>
    <w:rsid w:val="00443639"/>
    <w:rsid w:val="00443A65"/>
    <w:rsid w:val="00445F96"/>
    <w:rsid w:val="0045148E"/>
    <w:rsid w:val="00451B12"/>
    <w:rsid w:val="00451DE8"/>
    <w:rsid w:val="00453C3B"/>
    <w:rsid w:val="004545B2"/>
    <w:rsid w:val="004560E9"/>
    <w:rsid w:val="00456B58"/>
    <w:rsid w:val="004571F8"/>
    <w:rsid w:val="004600D5"/>
    <w:rsid w:val="00462C31"/>
    <w:rsid w:val="00472D6C"/>
    <w:rsid w:val="00472FEE"/>
    <w:rsid w:val="00474FD7"/>
    <w:rsid w:val="004754E9"/>
    <w:rsid w:val="004757D8"/>
    <w:rsid w:val="00477CFC"/>
    <w:rsid w:val="0048341F"/>
    <w:rsid w:val="0048616A"/>
    <w:rsid w:val="00487AD7"/>
    <w:rsid w:val="00495AB6"/>
    <w:rsid w:val="00496D6B"/>
    <w:rsid w:val="004A086E"/>
    <w:rsid w:val="004B19E6"/>
    <w:rsid w:val="004B1D14"/>
    <w:rsid w:val="004B25C6"/>
    <w:rsid w:val="004B3AF2"/>
    <w:rsid w:val="004B4407"/>
    <w:rsid w:val="004B5A1D"/>
    <w:rsid w:val="004C06EC"/>
    <w:rsid w:val="004C14AF"/>
    <w:rsid w:val="004C32C1"/>
    <w:rsid w:val="004C52B1"/>
    <w:rsid w:val="004D5638"/>
    <w:rsid w:val="004D731F"/>
    <w:rsid w:val="004E1192"/>
    <w:rsid w:val="004E2C4B"/>
    <w:rsid w:val="004E3F05"/>
    <w:rsid w:val="004E5278"/>
    <w:rsid w:val="004E79B7"/>
    <w:rsid w:val="004F22E3"/>
    <w:rsid w:val="004F27AF"/>
    <w:rsid w:val="004F3073"/>
    <w:rsid w:val="004F4B87"/>
    <w:rsid w:val="005004A3"/>
    <w:rsid w:val="00503B63"/>
    <w:rsid w:val="005055D5"/>
    <w:rsid w:val="00505C71"/>
    <w:rsid w:val="00507D74"/>
    <w:rsid w:val="00511C92"/>
    <w:rsid w:val="00513E6C"/>
    <w:rsid w:val="0052220F"/>
    <w:rsid w:val="00522A1A"/>
    <w:rsid w:val="005233DE"/>
    <w:rsid w:val="005236EE"/>
    <w:rsid w:val="00523C7A"/>
    <w:rsid w:val="00524743"/>
    <w:rsid w:val="005327B9"/>
    <w:rsid w:val="005404FA"/>
    <w:rsid w:val="00544071"/>
    <w:rsid w:val="00545199"/>
    <w:rsid w:val="00547B2C"/>
    <w:rsid w:val="005506DE"/>
    <w:rsid w:val="005508FF"/>
    <w:rsid w:val="00554B68"/>
    <w:rsid w:val="005555E5"/>
    <w:rsid w:val="005601A2"/>
    <w:rsid w:val="005620A1"/>
    <w:rsid w:val="005627E4"/>
    <w:rsid w:val="00563077"/>
    <w:rsid w:val="005644FA"/>
    <w:rsid w:val="00564DDC"/>
    <w:rsid w:val="00570062"/>
    <w:rsid w:val="00571336"/>
    <w:rsid w:val="00572D6B"/>
    <w:rsid w:val="0057441C"/>
    <w:rsid w:val="005774D9"/>
    <w:rsid w:val="0058379F"/>
    <w:rsid w:val="00585775"/>
    <w:rsid w:val="005869C6"/>
    <w:rsid w:val="005871F1"/>
    <w:rsid w:val="00590742"/>
    <w:rsid w:val="005910D4"/>
    <w:rsid w:val="0059121A"/>
    <w:rsid w:val="00592C1B"/>
    <w:rsid w:val="00597D5E"/>
    <w:rsid w:val="005A17B6"/>
    <w:rsid w:val="005A1A05"/>
    <w:rsid w:val="005A1AB7"/>
    <w:rsid w:val="005A2C43"/>
    <w:rsid w:val="005A31CC"/>
    <w:rsid w:val="005A5597"/>
    <w:rsid w:val="005A6164"/>
    <w:rsid w:val="005A7735"/>
    <w:rsid w:val="005B00CE"/>
    <w:rsid w:val="005C225A"/>
    <w:rsid w:val="005C323F"/>
    <w:rsid w:val="005C3769"/>
    <w:rsid w:val="005D2305"/>
    <w:rsid w:val="005D5417"/>
    <w:rsid w:val="005D79FA"/>
    <w:rsid w:val="005E3925"/>
    <w:rsid w:val="005E3D70"/>
    <w:rsid w:val="005E585D"/>
    <w:rsid w:val="005F1212"/>
    <w:rsid w:val="005F3508"/>
    <w:rsid w:val="005F3899"/>
    <w:rsid w:val="005F48CE"/>
    <w:rsid w:val="005F4F48"/>
    <w:rsid w:val="005F66F9"/>
    <w:rsid w:val="00600472"/>
    <w:rsid w:val="00603B3C"/>
    <w:rsid w:val="00606B6B"/>
    <w:rsid w:val="0061041D"/>
    <w:rsid w:val="00610880"/>
    <w:rsid w:val="00610A6C"/>
    <w:rsid w:val="00611297"/>
    <w:rsid w:val="00613955"/>
    <w:rsid w:val="00613C3F"/>
    <w:rsid w:val="00617803"/>
    <w:rsid w:val="0062038E"/>
    <w:rsid w:val="00620E23"/>
    <w:rsid w:val="00622530"/>
    <w:rsid w:val="00623A52"/>
    <w:rsid w:val="00625A06"/>
    <w:rsid w:val="00627B03"/>
    <w:rsid w:val="006318EE"/>
    <w:rsid w:val="0063261F"/>
    <w:rsid w:val="00633DB4"/>
    <w:rsid w:val="00645EB3"/>
    <w:rsid w:val="00654CB4"/>
    <w:rsid w:val="00656879"/>
    <w:rsid w:val="00661E79"/>
    <w:rsid w:val="006638A5"/>
    <w:rsid w:val="0066666B"/>
    <w:rsid w:val="006711AA"/>
    <w:rsid w:val="00672237"/>
    <w:rsid w:val="006776A8"/>
    <w:rsid w:val="0068096B"/>
    <w:rsid w:val="00681DF3"/>
    <w:rsid w:val="00692942"/>
    <w:rsid w:val="006941E0"/>
    <w:rsid w:val="006977FD"/>
    <w:rsid w:val="006A242B"/>
    <w:rsid w:val="006A3A67"/>
    <w:rsid w:val="006A7690"/>
    <w:rsid w:val="006B0580"/>
    <w:rsid w:val="006B0B39"/>
    <w:rsid w:val="006B2A36"/>
    <w:rsid w:val="006B4DDF"/>
    <w:rsid w:val="006B5DCB"/>
    <w:rsid w:val="006C0FAC"/>
    <w:rsid w:val="006C3395"/>
    <w:rsid w:val="006C44F7"/>
    <w:rsid w:val="006C4B7D"/>
    <w:rsid w:val="006D0852"/>
    <w:rsid w:val="006D1696"/>
    <w:rsid w:val="006D600F"/>
    <w:rsid w:val="006D719A"/>
    <w:rsid w:val="006D7733"/>
    <w:rsid w:val="006E0353"/>
    <w:rsid w:val="006E08D0"/>
    <w:rsid w:val="006E0EFE"/>
    <w:rsid w:val="006E5908"/>
    <w:rsid w:val="006E5A44"/>
    <w:rsid w:val="006E7871"/>
    <w:rsid w:val="006E7FC7"/>
    <w:rsid w:val="006F18EF"/>
    <w:rsid w:val="006F274E"/>
    <w:rsid w:val="006F30EE"/>
    <w:rsid w:val="006F4709"/>
    <w:rsid w:val="006F4B0B"/>
    <w:rsid w:val="006F6CCA"/>
    <w:rsid w:val="007050AF"/>
    <w:rsid w:val="00706F78"/>
    <w:rsid w:val="00711B3D"/>
    <w:rsid w:val="00712F69"/>
    <w:rsid w:val="0071767E"/>
    <w:rsid w:val="007306B4"/>
    <w:rsid w:val="00731F49"/>
    <w:rsid w:val="00732101"/>
    <w:rsid w:val="00734027"/>
    <w:rsid w:val="0073575E"/>
    <w:rsid w:val="00746572"/>
    <w:rsid w:val="007563EA"/>
    <w:rsid w:val="00757EAF"/>
    <w:rsid w:val="00757EBF"/>
    <w:rsid w:val="00763625"/>
    <w:rsid w:val="00764400"/>
    <w:rsid w:val="00767EE1"/>
    <w:rsid w:val="007730AE"/>
    <w:rsid w:val="00773838"/>
    <w:rsid w:val="00773EF4"/>
    <w:rsid w:val="0077400A"/>
    <w:rsid w:val="00776E42"/>
    <w:rsid w:val="0078339B"/>
    <w:rsid w:val="0078457B"/>
    <w:rsid w:val="00791D1F"/>
    <w:rsid w:val="00793306"/>
    <w:rsid w:val="00795017"/>
    <w:rsid w:val="007A0379"/>
    <w:rsid w:val="007A08FF"/>
    <w:rsid w:val="007A18A1"/>
    <w:rsid w:val="007A2912"/>
    <w:rsid w:val="007A3D59"/>
    <w:rsid w:val="007A68B3"/>
    <w:rsid w:val="007A6F2A"/>
    <w:rsid w:val="007A73C3"/>
    <w:rsid w:val="007B077B"/>
    <w:rsid w:val="007B1544"/>
    <w:rsid w:val="007B1691"/>
    <w:rsid w:val="007B2007"/>
    <w:rsid w:val="007B5A3A"/>
    <w:rsid w:val="007B719F"/>
    <w:rsid w:val="007C0BEB"/>
    <w:rsid w:val="007C1693"/>
    <w:rsid w:val="007C174F"/>
    <w:rsid w:val="007C34C1"/>
    <w:rsid w:val="007C3D4B"/>
    <w:rsid w:val="007C5563"/>
    <w:rsid w:val="007C60E2"/>
    <w:rsid w:val="007D65B8"/>
    <w:rsid w:val="007E31C6"/>
    <w:rsid w:val="007E462B"/>
    <w:rsid w:val="007F2702"/>
    <w:rsid w:val="007F3803"/>
    <w:rsid w:val="007F3B41"/>
    <w:rsid w:val="007F4532"/>
    <w:rsid w:val="007F7282"/>
    <w:rsid w:val="00801308"/>
    <w:rsid w:val="00801746"/>
    <w:rsid w:val="00801F93"/>
    <w:rsid w:val="00803C5E"/>
    <w:rsid w:val="008050E9"/>
    <w:rsid w:val="008115EA"/>
    <w:rsid w:val="00812D42"/>
    <w:rsid w:val="00817D1E"/>
    <w:rsid w:val="00820F65"/>
    <w:rsid w:val="00821547"/>
    <w:rsid w:val="00825FA6"/>
    <w:rsid w:val="00827CCB"/>
    <w:rsid w:val="00830661"/>
    <w:rsid w:val="00831ED2"/>
    <w:rsid w:val="00832E6F"/>
    <w:rsid w:val="00836122"/>
    <w:rsid w:val="00841AD8"/>
    <w:rsid w:val="008445D0"/>
    <w:rsid w:val="008471D0"/>
    <w:rsid w:val="0085332F"/>
    <w:rsid w:val="008545BC"/>
    <w:rsid w:val="008568D6"/>
    <w:rsid w:val="008571DB"/>
    <w:rsid w:val="008578D2"/>
    <w:rsid w:val="00861508"/>
    <w:rsid w:val="00861648"/>
    <w:rsid w:val="00867D4D"/>
    <w:rsid w:val="008711A2"/>
    <w:rsid w:val="00880085"/>
    <w:rsid w:val="00881496"/>
    <w:rsid w:val="00881BF0"/>
    <w:rsid w:val="008824A1"/>
    <w:rsid w:val="00886172"/>
    <w:rsid w:val="00890719"/>
    <w:rsid w:val="00892187"/>
    <w:rsid w:val="008959AD"/>
    <w:rsid w:val="00896803"/>
    <w:rsid w:val="008970F7"/>
    <w:rsid w:val="00897DED"/>
    <w:rsid w:val="008A0139"/>
    <w:rsid w:val="008A0BAA"/>
    <w:rsid w:val="008A2F32"/>
    <w:rsid w:val="008A36B7"/>
    <w:rsid w:val="008A3F6C"/>
    <w:rsid w:val="008A7096"/>
    <w:rsid w:val="008B4545"/>
    <w:rsid w:val="008B5CB2"/>
    <w:rsid w:val="008B6124"/>
    <w:rsid w:val="008B7C1B"/>
    <w:rsid w:val="008B7DA5"/>
    <w:rsid w:val="008C109E"/>
    <w:rsid w:val="008C3E9B"/>
    <w:rsid w:val="008D5943"/>
    <w:rsid w:val="008D5978"/>
    <w:rsid w:val="008D6440"/>
    <w:rsid w:val="008D7749"/>
    <w:rsid w:val="008E1C66"/>
    <w:rsid w:val="008F0995"/>
    <w:rsid w:val="008F60A2"/>
    <w:rsid w:val="00901A05"/>
    <w:rsid w:val="00902BBD"/>
    <w:rsid w:val="009126D8"/>
    <w:rsid w:val="0091584A"/>
    <w:rsid w:val="0092315B"/>
    <w:rsid w:val="00930EEE"/>
    <w:rsid w:val="009317CA"/>
    <w:rsid w:val="00931F71"/>
    <w:rsid w:val="009339F1"/>
    <w:rsid w:val="00937511"/>
    <w:rsid w:val="00943462"/>
    <w:rsid w:val="009443EE"/>
    <w:rsid w:val="00955A01"/>
    <w:rsid w:val="00960518"/>
    <w:rsid w:val="00965616"/>
    <w:rsid w:val="009665EF"/>
    <w:rsid w:val="00967D47"/>
    <w:rsid w:val="00971729"/>
    <w:rsid w:val="0097321B"/>
    <w:rsid w:val="009733D4"/>
    <w:rsid w:val="009740FB"/>
    <w:rsid w:val="00974DB5"/>
    <w:rsid w:val="0098194D"/>
    <w:rsid w:val="00981967"/>
    <w:rsid w:val="0098232E"/>
    <w:rsid w:val="00982476"/>
    <w:rsid w:val="00982D5B"/>
    <w:rsid w:val="0098407B"/>
    <w:rsid w:val="00984421"/>
    <w:rsid w:val="00987C5F"/>
    <w:rsid w:val="00987EA8"/>
    <w:rsid w:val="0099009F"/>
    <w:rsid w:val="00995313"/>
    <w:rsid w:val="009976D3"/>
    <w:rsid w:val="00997977"/>
    <w:rsid w:val="009A40E2"/>
    <w:rsid w:val="009A41D5"/>
    <w:rsid w:val="009A4FE0"/>
    <w:rsid w:val="009A7047"/>
    <w:rsid w:val="009B02E3"/>
    <w:rsid w:val="009B1473"/>
    <w:rsid w:val="009B4B55"/>
    <w:rsid w:val="009C5092"/>
    <w:rsid w:val="009C655E"/>
    <w:rsid w:val="009C6CDC"/>
    <w:rsid w:val="009C7F76"/>
    <w:rsid w:val="009D13EB"/>
    <w:rsid w:val="009D1F89"/>
    <w:rsid w:val="009E5D34"/>
    <w:rsid w:val="009F4427"/>
    <w:rsid w:val="009F4B40"/>
    <w:rsid w:val="009F7C3F"/>
    <w:rsid w:val="00A01C5F"/>
    <w:rsid w:val="00A069E2"/>
    <w:rsid w:val="00A07167"/>
    <w:rsid w:val="00A10E62"/>
    <w:rsid w:val="00A12C95"/>
    <w:rsid w:val="00A12CA3"/>
    <w:rsid w:val="00A13538"/>
    <w:rsid w:val="00A16FD5"/>
    <w:rsid w:val="00A171ED"/>
    <w:rsid w:val="00A172E9"/>
    <w:rsid w:val="00A20A38"/>
    <w:rsid w:val="00A235D8"/>
    <w:rsid w:val="00A23C7E"/>
    <w:rsid w:val="00A25768"/>
    <w:rsid w:val="00A30760"/>
    <w:rsid w:val="00A32B12"/>
    <w:rsid w:val="00A43BCC"/>
    <w:rsid w:val="00A4488E"/>
    <w:rsid w:val="00A45F6E"/>
    <w:rsid w:val="00A460B6"/>
    <w:rsid w:val="00A53AAD"/>
    <w:rsid w:val="00A553CF"/>
    <w:rsid w:val="00A5656B"/>
    <w:rsid w:val="00A56945"/>
    <w:rsid w:val="00A61402"/>
    <w:rsid w:val="00A633FF"/>
    <w:rsid w:val="00A6453E"/>
    <w:rsid w:val="00A64CFD"/>
    <w:rsid w:val="00A67635"/>
    <w:rsid w:val="00A71A28"/>
    <w:rsid w:val="00A71D13"/>
    <w:rsid w:val="00A7458F"/>
    <w:rsid w:val="00A762BD"/>
    <w:rsid w:val="00A76448"/>
    <w:rsid w:val="00A81DAF"/>
    <w:rsid w:val="00A8443F"/>
    <w:rsid w:val="00A97271"/>
    <w:rsid w:val="00AA050D"/>
    <w:rsid w:val="00AA0782"/>
    <w:rsid w:val="00AA1652"/>
    <w:rsid w:val="00AA2916"/>
    <w:rsid w:val="00AA334F"/>
    <w:rsid w:val="00AB337B"/>
    <w:rsid w:val="00AC2E0A"/>
    <w:rsid w:val="00AC4440"/>
    <w:rsid w:val="00AD0116"/>
    <w:rsid w:val="00AD2463"/>
    <w:rsid w:val="00AD5D23"/>
    <w:rsid w:val="00AD61C9"/>
    <w:rsid w:val="00AD792D"/>
    <w:rsid w:val="00AD7AE3"/>
    <w:rsid w:val="00AE0878"/>
    <w:rsid w:val="00AF01BE"/>
    <w:rsid w:val="00AF31D1"/>
    <w:rsid w:val="00AF3523"/>
    <w:rsid w:val="00AF710C"/>
    <w:rsid w:val="00AF7C44"/>
    <w:rsid w:val="00B007E2"/>
    <w:rsid w:val="00B011BF"/>
    <w:rsid w:val="00B03013"/>
    <w:rsid w:val="00B120EE"/>
    <w:rsid w:val="00B1382C"/>
    <w:rsid w:val="00B140D0"/>
    <w:rsid w:val="00B14C84"/>
    <w:rsid w:val="00B15C9C"/>
    <w:rsid w:val="00B16347"/>
    <w:rsid w:val="00B17116"/>
    <w:rsid w:val="00B25795"/>
    <w:rsid w:val="00B2720C"/>
    <w:rsid w:val="00B32277"/>
    <w:rsid w:val="00B3547E"/>
    <w:rsid w:val="00B37B1F"/>
    <w:rsid w:val="00B411B7"/>
    <w:rsid w:val="00B450B5"/>
    <w:rsid w:val="00B45B02"/>
    <w:rsid w:val="00B45CE0"/>
    <w:rsid w:val="00B51ECA"/>
    <w:rsid w:val="00B53847"/>
    <w:rsid w:val="00B54857"/>
    <w:rsid w:val="00B560BA"/>
    <w:rsid w:val="00B57E6B"/>
    <w:rsid w:val="00B60757"/>
    <w:rsid w:val="00B64E29"/>
    <w:rsid w:val="00B72FB3"/>
    <w:rsid w:val="00B755BB"/>
    <w:rsid w:val="00B80303"/>
    <w:rsid w:val="00B8139D"/>
    <w:rsid w:val="00B85726"/>
    <w:rsid w:val="00B86E05"/>
    <w:rsid w:val="00B91368"/>
    <w:rsid w:val="00B9469B"/>
    <w:rsid w:val="00B94D5B"/>
    <w:rsid w:val="00BA5854"/>
    <w:rsid w:val="00BB0DF0"/>
    <w:rsid w:val="00BB14D7"/>
    <w:rsid w:val="00BB2669"/>
    <w:rsid w:val="00BB3854"/>
    <w:rsid w:val="00BB4AEC"/>
    <w:rsid w:val="00BB5835"/>
    <w:rsid w:val="00BB7989"/>
    <w:rsid w:val="00BC068E"/>
    <w:rsid w:val="00BC3673"/>
    <w:rsid w:val="00BC3AAD"/>
    <w:rsid w:val="00BC3FED"/>
    <w:rsid w:val="00BD0AD9"/>
    <w:rsid w:val="00BD1FAE"/>
    <w:rsid w:val="00BD2111"/>
    <w:rsid w:val="00BD280C"/>
    <w:rsid w:val="00BD3296"/>
    <w:rsid w:val="00BD3762"/>
    <w:rsid w:val="00BD4D10"/>
    <w:rsid w:val="00BD5E56"/>
    <w:rsid w:val="00BD5E57"/>
    <w:rsid w:val="00BE1C19"/>
    <w:rsid w:val="00BE68F2"/>
    <w:rsid w:val="00BE6F74"/>
    <w:rsid w:val="00BF17D6"/>
    <w:rsid w:val="00BF1E9B"/>
    <w:rsid w:val="00C0126C"/>
    <w:rsid w:val="00C03E08"/>
    <w:rsid w:val="00C0464D"/>
    <w:rsid w:val="00C07163"/>
    <w:rsid w:val="00C07A39"/>
    <w:rsid w:val="00C10179"/>
    <w:rsid w:val="00C126A8"/>
    <w:rsid w:val="00C13685"/>
    <w:rsid w:val="00C13761"/>
    <w:rsid w:val="00C1449B"/>
    <w:rsid w:val="00C168B3"/>
    <w:rsid w:val="00C17618"/>
    <w:rsid w:val="00C228E1"/>
    <w:rsid w:val="00C25563"/>
    <w:rsid w:val="00C25C7C"/>
    <w:rsid w:val="00C3129F"/>
    <w:rsid w:val="00C37B07"/>
    <w:rsid w:val="00C41807"/>
    <w:rsid w:val="00C4574B"/>
    <w:rsid w:val="00C47012"/>
    <w:rsid w:val="00C47BAF"/>
    <w:rsid w:val="00C50071"/>
    <w:rsid w:val="00C50D6A"/>
    <w:rsid w:val="00C60C43"/>
    <w:rsid w:val="00C628B8"/>
    <w:rsid w:val="00C64A73"/>
    <w:rsid w:val="00C6730C"/>
    <w:rsid w:val="00C714CB"/>
    <w:rsid w:val="00C73283"/>
    <w:rsid w:val="00C75154"/>
    <w:rsid w:val="00C751EF"/>
    <w:rsid w:val="00C77AE8"/>
    <w:rsid w:val="00C80FAE"/>
    <w:rsid w:val="00C81581"/>
    <w:rsid w:val="00C8363D"/>
    <w:rsid w:val="00C86EA5"/>
    <w:rsid w:val="00C91623"/>
    <w:rsid w:val="00C95382"/>
    <w:rsid w:val="00C96178"/>
    <w:rsid w:val="00C965B5"/>
    <w:rsid w:val="00CA6A4E"/>
    <w:rsid w:val="00CB0485"/>
    <w:rsid w:val="00CB068B"/>
    <w:rsid w:val="00CB2941"/>
    <w:rsid w:val="00CB2C22"/>
    <w:rsid w:val="00CB3C19"/>
    <w:rsid w:val="00CB4B78"/>
    <w:rsid w:val="00CB692B"/>
    <w:rsid w:val="00CC0492"/>
    <w:rsid w:val="00CC0752"/>
    <w:rsid w:val="00CC08FB"/>
    <w:rsid w:val="00CC23FB"/>
    <w:rsid w:val="00CC2A07"/>
    <w:rsid w:val="00CC4F67"/>
    <w:rsid w:val="00CC5BC9"/>
    <w:rsid w:val="00CC7AD9"/>
    <w:rsid w:val="00CD3321"/>
    <w:rsid w:val="00CD3DF0"/>
    <w:rsid w:val="00CD451A"/>
    <w:rsid w:val="00CD6ECD"/>
    <w:rsid w:val="00CD7E35"/>
    <w:rsid w:val="00CE00E9"/>
    <w:rsid w:val="00CE07B7"/>
    <w:rsid w:val="00CE4829"/>
    <w:rsid w:val="00CE70CD"/>
    <w:rsid w:val="00CF1AB0"/>
    <w:rsid w:val="00CF3874"/>
    <w:rsid w:val="00CF5D83"/>
    <w:rsid w:val="00CF715F"/>
    <w:rsid w:val="00D02E78"/>
    <w:rsid w:val="00D030E7"/>
    <w:rsid w:val="00D1494B"/>
    <w:rsid w:val="00D20DF9"/>
    <w:rsid w:val="00D210DF"/>
    <w:rsid w:val="00D21236"/>
    <w:rsid w:val="00D23C0F"/>
    <w:rsid w:val="00D24FE9"/>
    <w:rsid w:val="00D301E8"/>
    <w:rsid w:val="00D30AED"/>
    <w:rsid w:val="00D3197A"/>
    <w:rsid w:val="00D32AAC"/>
    <w:rsid w:val="00D37557"/>
    <w:rsid w:val="00D40936"/>
    <w:rsid w:val="00D42325"/>
    <w:rsid w:val="00D443A9"/>
    <w:rsid w:val="00D506E5"/>
    <w:rsid w:val="00D512B9"/>
    <w:rsid w:val="00D54F1B"/>
    <w:rsid w:val="00D56799"/>
    <w:rsid w:val="00D56DB7"/>
    <w:rsid w:val="00D57BD8"/>
    <w:rsid w:val="00D6318B"/>
    <w:rsid w:val="00D63C85"/>
    <w:rsid w:val="00D653EE"/>
    <w:rsid w:val="00D67701"/>
    <w:rsid w:val="00D71A85"/>
    <w:rsid w:val="00D72270"/>
    <w:rsid w:val="00D7603A"/>
    <w:rsid w:val="00D761AA"/>
    <w:rsid w:val="00D85075"/>
    <w:rsid w:val="00D86A54"/>
    <w:rsid w:val="00D8708A"/>
    <w:rsid w:val="00D922F7"/>
    <w:rsid w:val="00D92C30"/>
    <w:rsid w:val="00D94801"/>
    <w:rsid w:val="00D95346"/>
    <w:rsid w:val="00D96602"/>
    <w:rsid w:val="00DA0204"/>
    <w:rsid w:val="00DA04AA"/>
    <w:rsid w:val="00DA1983"/>
    <w:rsid w:val="00DA1EC3"/>
    <w:rsid w:val="00DA6803"/>
    <w:rsid w:val="00DA68D6"/>
    <w:rsid w:val="00DB0C79"/>
    <w:rsid w:val="00DB3579"/>
    <w:rsid w:val="00DB3DEE"/>
    <w:rsid w:val="00DB76C7"/>
    <w:rsid w:val="00DC0C51"/>
    <w:rsid w:val="00DD66B7"/>
    <w:rsid w:val="00DE277D"/>
    <w:rsid w:val="00DE6C27"/>
    <w:rsid w:val="00DF33B6"/>
    <w:rsid w:val="00DF55A3"/>
    <w:rsid w:val="00DF754D"/>
    <w:rsid w:val="00E009E1"/>
    <w:rsid w:val="00E044D9"/>
    <w:rsid w:val="00E06361"/>
    <w:rsid w:val="00E07559"/>
    <w:rsid w:val="00E22F89"/>
    <w:rsid w:val="00E25B4C"/>
    <w:rsid w:val="00E26C8B"/>
    <w:rsid w:val="00E27FDE"/>
    <w:rsid w:val="00E359CD"/>
    <w:rsid w:val="00E35C2C"/>
    <w:rsid w:val="00E43C44"/>
    <w:rsid w:val="00E44F5B"/>
    <w:rsid w:val="00E521B7"/>
    <w:rsid w:val="00E52E1F"/>
    <w:rsid w:val="00E550F2"/>
    <w:rsid w:val="00E556C3"/>
    <w:rsid w:val="00E57323"/>
    <w:rsid w:val="00E601C5"/>
    <w:rsid w:val="00E60567"/>
    <w:rsid w:val="00E60B5E"/>
    <w:rsid w:val="00E61495"/>
    <w:rsid w:val="00E65EE4"/>
    <w:rsid w:val="00E67FD4"/>
    <w:rsid w:val="00E70E9F"/>
    <w:rsid w:val="00E720CA"/>
    <w:rsid w:val="00E72FCE"/>
    <w:rsid w:val="00E736CC"/>
    <w:rsid w:val="00E75544"/>
    <w:rsid w:val="00E75702"/>
    <w:rsid w:val="00E75FFB"/>
    <w:rsid w:val="00E767D5"/>
    <w:rsid w:val="00E83361"/>
    <w:rsid w:val="00E8611D"/>
    <w:rsid w:val="00E910F8"/>
    <w:rsid w:val="00E919FE"/>
    <w:rsid w:val="00E9336C"/>
    <w:rsid w:val="00EA0E11"/>
    <w:rsid w:val="00EA16AF"/>
    <w:rsid w:val="00EA435E"/>
    <w:rsid w:val="00EA4881"/>
    <w:rsid w:val="00EA5780"/>
    <w:rsid w:val="00EA604D"/>
    <w:rsid w:val="00EB08CD"/>
    <w:rsid w:val="00EB116F"/>
    <w:rsid w:val="00EB45E2"/>
    <w:rsid w:val="00EB493C"/>
    <w:rsid w:val="00EB4F6B"/>
    <w:rsid w:val="00EB51D7"/>
    <w:rsid w:val="00EB528E"/>
    <w:rsid w:val="00EB62F4"/>
    <w:rsid w:val="00EB6570"/>
    <w:rsid w:val="00EB6E8E"/>
    <w:rsid w:val="00EB7581"/>
    <w:rsid w:val="00EC0668"/>
    <w:rsid w:val="00EC5D65"/>
    <w:rsid w:val="00EC723C"/>
    <w:rsid w:val="00ED03CD"/>
    <w:rsid w:val="00ED24D0"/>
    <w:rsid w:val="00EE4281"/>
    <w:rsid w:val="00EE513B"/>
    <w:rsid w:val="00EF060E"/>
    <w:rsid w:val="00EF0B15"/>
    <w:rsid w:val="00EF4896"/>
    <w:rsid w:val="00F028B8"/>
    <w:rsid w:val="00F035C2"/>
    <w:rsid w:val="00F04EB8"/>
    <w:rsid w:val="00F0593F"/>
    <w:rsid w:val="00F07C6F"/>
    <w:rsid w:val="00F12625"/>
    <w:rsid w:val="00F15244"/>
    <w:rsid w:val="00F2091E"/>
    <w:rsid w:val="00F20F68"/>
    <w:rsid w:val="00F24D7B"/>
    <w:rsid w:val="00F3595A"/>
    <w:rsid w:val="00F35D52"/>
    <w:rsid w:val="00F434F4"/>
    <w:rsid w:val="00F55040"/>
    <w:rsid w:val="00F5715F"/>
    <w:rsid w:val="00F62925"/>
    <w:rsid w:val="00F64D9E"/>
    <w:rsid w:val="00F65BB4"/>
    <w:rsid w:val="00F75202"/>
    <w:rsid w:val="00F7540A"/>
    <w:rsid w:val="00F777D8"/>
    <w:rsid w:val="00F8043B"/>
    <w:rsid w:val="00F857AB"/>
    <w:rsid w:val="00F86707"/>
    <w:rsid w:val="00F86B13"/>
    <w:rsid w:val="00F86DB6"/>
    <w:rsid w:val="00F91562"/>
    <w:rsid w:val="00F91DA4"/>
    <w:rsid w:val="00F93BE0"/>
    <w:rsid w:val="00F9776B"/>
    <w:rsid w:val="00FA241B"/>
    <w:rsid w:val="00FA361F"/>
    <w:rsid w:val="00FA39B2"/>
    <w:rsid w:val="00FA472E"/>
    <w:rsid w:val="00FA496F"/>
    <w:rsid w:val="00FA4BA5"/>
    <w:rsid w:val="00FA4EBF"/>
    <w:rsid w:val="00FA5C77"/>
    <w:rsid w:val="00FA6CF6"/>
    <w:rsid w:val="00FA750B"/>
    <w:rsid w:val="00FA7973"/>
    <w:rsid w:val="00FB38E3"/>
    <w:rsid w:val="00FB40C6"/>
    <w:rsid w:val="00FC1598"/>
    <w:rsid w:val="00FC5A12"/>
    <w:rsid w:val="00FC7131"/>
    <w:rsid w:val="00FD107E"/>
    <w:rsid w:val="00FD22AC"/>
    <w:rsid w:val="00FD6777"/>
    <w:rsid w:val="00FD6ACD"/>
    <w:rsid w:val="00FE04B1"/>
    <w:rsid w:val="00FE2113"/>
    <w:rsid w:val="00FE3718"/>
    <w:rsid w:val="00FE4D49"/>
    <w:rsid w:val="00FE5F4A"/>
    <w:rsid w:val="00FF1552"/>
    <w:rsid w:val="00FF3E24"/>
    <w:rsid w:val="00FF486F"/>
    <w:rsid w:val="00FF4C18"/>
    <w:rsid w:val="00FF5403"/>
    <w:rsid w:val="00FF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77B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5B4C"/>
    <w:pPr>
      <w:spacing w:before="120" w:after="120"/>
      <w:jc w:val="both"/>
    </w:pPr>
    <w:rPr>
      <w:rFonts w:ascii="Arial" w:eastAsia="ヒラギノ角ゴ Pro W3" w:hAnsi="Arial"/>
      <w:color w:val="000000"/>
      <w:sz w:val="22"/>
      <w:szCs w:val="24"/>
      <w:lang w:eastAsia="en-US"/>
    </w:rPr>
  </w:style>
  <w:style w:type="paragraph" w:styleId="Heading1">
    <w:name w:val="heading 1"/>
    <w:basedOn w:val="Normal"/>
    <w:next w:val="Normal"/>
    <w:link w:val="Heading1Char"/>
    <w:qFormat/>
    <w:locked/>
    <w:rsid w:val="002E52F6"/>
    <w:pPr>
      <w:keepNext/>
      <w:numPr>
        <w:numId w:val="3"/>
      </w:numPr>
      <w:spacing w:before="360" w:after="240"/>
      <w:jc w:val="left"/>
      <w:outlineLvl w:val="0"/>
    </w:pPr>
    <w:rPr>
      <w:rFonts w:cs="Arial"/>
      <w:b/>
      <w:bCs/>
      <w:kern w:val="32"/>
      <w:sz w:val="40"/>
      <w:szCs w:val="40"/>
    </w:rPr>
  </w:style>
  <w:style w:type="paragraph" w:styleId="Heading2">
    <w:name w:val="heading 2"/>
    <w:basedOn w:val="Normal"/>
    <w:next w:val="Normal"/>
    <w:link w:val="Heading2Char"/>
    <w:qFormat/>
    <w:locked/>
    <w:rsid w:val="00D56799"/>
    <w:pPr>
      <w:keepNext/>
      <w:numPr>
        <w:ilvl w:val="1"/>
        <w:numId w:val="3"/>
      </w:numPr>
      <w:spacing w:after="240"/>
      <w:jc w:val="left"/>
      <w:outlineLvl w:val="1"/>
    </w:pPr>
    <w:rPr>
      <w:rFonts w:cs="Arial"/>
      <w:b/>
      <w:bCs/>
      <w:iCs/>
      <w:sz w:val="24"/>
    </w:rPr>
  </w:style>
  <w:style w:type="paragraph" w:styleId="Heading3">
    <w:name w:val="heading 3"/>
    <w:basedOn w:val="Normal"/>
    <w:next w:val="Normal"/>
    <w:qFormat/>
    <w:locked/>
    <w:rsid w:val="00D56799"/>
    <w:pPr>
      <w:keepNext/>
      <w:numPr>
        <w:ilvl w:val="2"/>
        <w:numId w:val="3"/>
      </w:numPr>
      <w:spacing w:after="240"/>
      <w:outlineLvl w:val="2"/>
    </w:pPr>
    <w:rPr>
      <w:rFonts w:cs="Arial"/>
      <w:b/>
      <w:bCs/>
      <w:i/>
      <w:szCs w:val="26"/>
    </w:rPr>
  </w:style>
  <w:style w:type="paragraph" w:styleId="Heading4">
    <w:name w:val="heading 4"/>
    <w:basedOn w:val="Heading1"/>
    <w:next w:val="Normal"/>
    <w:qFormat/>
    <w:locked/>
    <w:rsid w:val="00362DF5"/>
    <w:pPr>
      <w:numPr>
        <w:numId w:val="0"/>
      </w:numPr>
      <w:spacing w:before="0"/>
      <w:outlineLvl w:val="3"/>
    </w:pPr>
  </w:style>
  <w:style w:type="paragraph" w:styleId="Heading5">
    <w:name w:val="heading 5"/>
    <w:basedOn w:val="Heading4"/>
    <w:next w:val="Normal"/>
    <w:locked/>
    <w:rsid w:val="00342897"/>
    <w:pPr>
      <w:numPr>
        <w:numId w:val="4"/>
      </w:numPr>
      <w:ind w:left="1843" w:hanging="1843"/>
      <w:outlineLvl w:val="4"/>
    </w:pPr>
  </w:style>
  <w:style w:type="paragraph" w:styleId="Heading6">
    <w:name w:val="heading 6"/>
    <w:basedOn w:val="Heading5"/>
    <w:next w:val="Normal"/>
    <w:link w:val="Heading6Char"/>
    <w:locked/>
    <w:rsid w:val="00603B3C"/>
    <w:pPr>
      <w:outlineLvl w:val="5"/>
    </w:pPr>
    <w:rPr>
      <w:rFonts w:ascii="Times New Roman" w:eastAsia="Times New Roman" w:hAnsi="Times New Roman" w:cs="Times New Roman"/>
      <w:b w:val="0"/>
      <w:bCs w:val="0"/>
      <w:color w:val="auto"/>
      <w:kern w:val="0"/>
      <w:sz w:val="22"/>
      <w:szCs w:val="22"/>
      <w:lang w:eastAsia="da-DK"/>
    </w:rPr>
  </w:style>
  <w:style w:type="paragraph" w:styleId="Heading7">
    <w:name w:val="heading 7"/>
    <w:basedOn w:val="Heading6"/>
    <w:next w:val="Normal"/>
    <w:link w:val="Heading7Char"/>
    <w:locked/>
    <w:rsid w:val="00603B3C"/>
    <w:pPr>
      <w:outlineLvl w:val="6"/>
    </w:pPr>
    <w:rPr>
      <w:b/>
      <w:bCs/>
    </w:rPr>
  </w:style>
  <w:style w:type="paragraph" w:styleId="Heading8">
    <w:name w:val="heading 8"/>
    <w:basedOn w:val="Heading7"/>
    <w:next w:val="Normal"/>
    <w:qFormat/>
    <w:locked/>
    <w:rsid w:val="00603B3C"/>
    <w:pPr>
      <w:outlineLvl w:val="7"/>
    </w:pPr>
  </w:style>
  <w:style w:type="paragraph" w:styleId="Heading9">
    <w:name w:val="heading 9"/>
    <w:basedOn w:val="Heading8"/>
    <w:next w:val="Normal"/>
    <w:qFormat/>
    <w:locked/>
    <w:rsid w:val="00603B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C0F"/>
    <w:pPr>
      <w:autoSpaceDE w:val="0"/>
      <w:autoSpaceDN w:val="0"/>
      <w:adjustRightInd w:val="0"/>
    </w:pPr>
    <w:rPr>
      <w:color w:val="000000"/>
      <w:sz w:val="24"/>
      <w:szCs w:val="24"/>
    </w:rPr>
  </w:style>
  <w:style w:type="paragraph" w:customStyle="1" w:styleId="Bullettext">
    <w:name w:val="Bullet text"/>
    <w:basedOn w:val="Normal"/>
    <w:rsid w:val="00827CCB"/>
    <w:pPr>
      <w:numPr>
        <w:numId w:val="2"/>
      </w:numPr>
      <w:tabs>
        <w:tab w:val="clear" w:pos="1770"/>
      </w:tabs>
      <w:ind w:left="357" w:hanging="357"/>
      <w:jc w:val="left"/>
    </w:pPr>
  </w:style>
  <w:style w:type="paragraph" w:customStyle="1" w:styleId="Numberedtext">
    <w:name w:val="Numbered text"/>
    <w:basedOn w:val="Normal"/>
    <w:rsid w:val="009F4427"/>
    <w:pPr>
      <w:numPr>
        <w:numId w:val="1"/>
      </w:numPr>
      <w:spacing w:after="240"/>
      <w:ind w:left="284" w:hanging="284"/>
      <w:jc w:val="left"/>
    </w:pPr>
  </w:style>
  <w:style w:type="paragraph" w:customStyle="1" w:styleId="Footnote">
    <w:name w:val="Footnote"/>
    <w:basedOn w:val="Normal"/>
    <w:rsid w:val="00402F02"/>
    <w:pPr>
      <w:spacing w:after="60"/>
    </w:pPr>
    <w:rPr>
      <w:sz w:val="18"/>
      <w:szCs w:val="18"/>
    </w:rPr>
  </w:style>
  <w:style w:type="character" w:styleId="Hyperlink">
    <w:name w:val="Hyperlink"/>
    <w:uiPriority w:val="99"/>
    <w:locked/>
    <w:rsid w:val="00603B3C"/>
    <w:rPr>
      <w:color w:val="0000FF"/>
      <w:u w:val="single"/>
    </w:rPr>
  </w:style>
  <w:style w:type="character" w:customStyle="1" w:styleId="Unknown0">
    <w:name w:val="Unknown 0"/>
    <w:basedOn w:val="DefaultParagraphFont"/>
    <w:semiHidden/>
  </w:style>
  <w:style w:type="character" w:customStyle="1" w:styleId="Unknown1">
    <w:name w:val="Unknown 1"/>
    <w:basedOn w:val="DefaultParagraphFont"/>
    <w:autoRedefine/>
    <w:semiHidden/>
  </w:style>
  <w:style w:type="paragraph" w:styleId="FootnoteText">
    <w:name w:val="footnote text"/>
    <w:aliases w:val="Testo nota a piè di pagina Carattere Carattere,Testo nota a piè di pagina Carattere,Testo nota a piè di pagina Carattere1 Carattere,Testo nota a piè di pagina Carattere Carattere Carattere Carattere,Fußnotentext Char"/>
    <w:basedOn w:val="Normal"/>
    <w:link w:val="FootnoteTextChar"/>
    <w:uiPriority w:val="99"/>
    <w:locked/>
    <w:rsid w:val="004E79B7"/>
    <w:rPr>
      <w:sz w:val="20"/>
      <w:szCs w:val="20"/>
    </w:rPr>
  </w:style>
  <w:style w:type="character" w:styleId="FootnoteReference">
    <w:name w:val="footnote reference"/>
    <w:aliases w:val="number,BVI fnr,Odwołanie przypisu,Footnote Reference2,Footnote Reference Number,E FNZ,-E Fußnotenzeichen,Footnote#,Footnote symbol,Times 10 Point,Exposant 3 Point,Ref,de nota al pie,Footnote reference number,note TESI,SUPER"/>
    <w:uiPriority w:val="99"/>
    <w:locked/>
    <w:rsid w:val="004E79B7"/>
    <w:rPr>
      <w:vertAlign w:val="superscript"/>
    </w:rPr>
  </w:style>
  <w:style w:type="paragraph" w:styleId="TOC2">
    <w:name w:val="toc 2"/>
    <w:basedOn w:val="Normal"/>
    <w:next w:val="Normal"/>
    <w:autoRedefine/>
    <w:uiPriority w:val="39"/>
    <w:locked/>
    <w:rsid w:val="006638A5"/>
    <w:pPr>
      <w:tabs>
        <w:tab w:val="left" w:pos="1134"/>
        <w:tab w:val="right" w:leader="dot" w:pos="9010"/>
      </w:tabs>
      <w:ind w:left="1134" w:hanging="567"/>
      <w:jc w:val="left"/>
    </w:pPr>
    <w:rPr>
      <w:rFonts w:asciiTheme="minorHAnsi" w:hAnsiTheme="minorHAnsi" w:cstheme="minorHAnsi"/>
      <w:b/>
      <w:bCs/>
      <w:sz w:val="20"/>
      <w:szCs w:val="20"/>
    </w:rPr>
  </w:style>
  <w:style w:type="paragraph" w:styleId="TOC3">
    <w:name w:val="toc 3"/>
    <w:basedOn w:val="Normal"/>
    <w:next w:val="Normal"/>
    <w:autoRedefine/>
    <w:uiPriority w:val="39"/>
    <w:locked/>
    <w:rsid w:val="006638A5"/>
    <w:pPr>
      <w:tabs>
        <w:tab w:val="left" w:pos="1134"/>
        <w:tab w:val="right" w:leader="dot" w:pos="9010"/>
      </w:tabs>
      <w:ind w:left="1134" w:hanging="567"/>
      <w:jc w:val="left"/>
    </w:pPr>
    <w:rPr>
      <w:rFonts w:asciiTheme="minorHAnsi" w:hAnsiTheme="minorHAnsi" w:cstheme="minorHAnsi"/>
      <w:sz w:val="20"/>
      <w:szCs w:val="20"/>
    </w:rPr>
  </w:style>
  <w:style w:type="paragraph" w:customStyle="1" w:styleId="Cover-title1">
    <w:name w:val="Cover - title 1"/>
    <w:basedOn w:val="Normal"/>
    <w:next w:val="Normal"/>
    <w:rsid w:val="000621DE"/>
    <w:pPr>
      <w:overflowPunct w:val="0"/>
      <w:autoSpaceDE w:val="0"/>
      <w:autoSpaceDN w:val="0"/>
      <w:adjustRightInd w:val="0"/>
      <w:jc w:val="right"/>
      <w:textAlignment w:val="baseline"/>
    </w:pPr>
    <w:rPr>
      <w:rFonts w:eastAsia="Times New Roman"/>
      <w:b/>
      <w:color w:val="auto"/>
      <w:sz w:val="44"/>
      <w:szCs w:val="44"/>
      <w:lang w:eastAsia="da-DK"/>
    </w:rPr>
  </w:style>
  <w:style w:type="paragraph" w:customStyle="1" w:styleId="Cover-title3">
    <w:name w:val="Cover - title 3"/>
    <w:basedOn w:val="Normal"/>
    <w:next w:val="Normal"/>
    <w:rsid w:val="00402EE1"/>
    <w:pPr>
      <w:overflowPunct w:val="0"/>
      <w:autoSpaceDE w:val="0"/>
      <w:autoSpaceDN w:val="0"/>
      <w:adjustRightInd w:val="0"/>
      <w:jc w:val="right"/>
      <w:textAlignment w:val="baseline"/>
    </w:pPr>
    <w:rPr>
      <w:rFonts w:eastAsia="Times New Roman"/>
      <w:b/>
      <w:color w:val="auto"/>
      <w:szCs w:val="20"/>
      <w:lang w:eastAsia="da-DK"/>
    </w:rPr>
  </w:style>
  <w:style w:type="paragraph" w:customStyle="1" w:styleId="Notetoedpub">
    <w:name w:val="Note to ed/pub"/>
    <w:basedOn w:val="Normal"/>
    <w:link w:val="NotetoedpubChar"/>
    <w:qFormat/>
    <w:rsid w:val="00AD61C9"/>
    <w:pPr>
      <w:spacing w:after="240"/>
    </w:pPr>
    <w:rPr>
      <w:b/>
      <w:i/>
    </w:rPr>
  </w:style>
  <w:style w:type="paragraph" w:customStyle="1" w:styleId="Graphicsourcenotes">
    <w:name w:val="Graphic source/notes"/>
    <w:basedOn w:val="Normal"/>
    <w:next w:val="Normal"/>
    <w:rsid w:val="00633DB4"/>
    <w:pPr>
      <w:overflowPunct w:val="0"/>
      <w:autoSpaceDE w:val="0"/>
      <w:autoSpaceDN w:val="0"/>
      <w:adjustRightInd w:val="0"/>
      <w:jc w:val="left"/>
      <w:textAlignment w:val="baseline"/>
    </w:pPr>
    <w:rPr>
      <w:rFonts w:eastAsia="Times New Roman"/>
      <w:color w:val="auto"/>
      <w:sz w:val="18"/>
      <w:szCs w:val="20"/>
      <w:lang w:eastAsia="da-DK"/>
    </w:rPr>
  </w:style>
  <w:style w:type="paragraph" w:customStyle="1" w:styleId="Cover-title2">
    <w:name w:val="Cover - title 2"/>
    <w:basedOn w:val="Normal"/>
    <w:next w:val="Normal"/>
    <w:rsid w:val="00402EE1"/>
    <w:pPr>
      <w:overflowPunct w:val="0"/>
      <w:autoSpaceDE w:val="0"/>
      <w:autoSpaceDN w:val="0"/>
      <w:adjustRightInd w:val="0"/>
      <w:jc w:val="right"/>
      <w:textAlignment w:val="baseline"/>
    </w:pPr>
    <w:rPr>
      <w:rFonts w:eastAsia="Times New Roman"/>
      <w:b/>
      <w:color w:val="auto"/>
      <w:sz w:val="32"/>
      <w:szCs w:val="20"/>
      <w:lang w:eastAsia="da-DK"/>
    </w:rPr>
  </w:style>
  <w:style w:type="paragraph" w:styleId="BodyText">
    <w:name w:val="Body Text"/>
    <w:basedOn w:val="Normal"/>
    <w:link w:val="BodyTextChar"/>
    <w:locked/>
    <w:rsid w:val="00402EE1"/>
    <w:pPr>
      <w:overflowPunct w:val="0"/>
      <w:autoSpaceDE w:val="0"/>
      <w:autoSpaceDN w:val="0"/>
      <w:adjustRightInd w:val="0"/>
      <w:spacing w:after="240"/>
      <w:jc w:val="left"/>
      <w:textAlignment w:val="baseline"/>
    </w:pPr>
    <w:rPr>
      <w:rFonts w:eastAsia="Times New Roman"/>
      <w:color w:val="auto"/>
      <w:szCs w:val="22"/>
      <w:lang w:eastAsia="da-DK"/>
    </w:rPr>
  </w:style>
  <w:style w:type="paragraph" w:styleId="Header">
    <w:name w:val="header"/>
    <w:basedOn w:val="Normal"/>
    <w:link w:val="HeaderChar"/>
    <w:locked/>
    <w:rsid w:val="00AA0782"/>
    <w:pPr>
      <w:tabs>
        <w:tab w:val="center" w:pos="4153"/>
        <w:tab w:val="right" w:pos="8306"/>
      </w:tabs>
    </w:pPr>
  </w:style>
  <w:style w:type="character" w:styleId="PageNumber">
    <w:name w:val="page number"/>
    <w:basedOn w:val="DefaultParagraphFont"/>
    <w:locked/>
    <w:rsid w:val="00AA0782"/>
  </w:style>
  <w:style w:type="table" w:styleId="TableGrid">
    <w:name w:val="Table Grid"/>
    <w:basedOn w:val="TableNormal"/>
    <w:uiPriority w:val="59"/>
    <w:locked/>
    <w:rsid w:val="00603B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OC4">
    <w:name w:val="toc 4"/>
    <w:basedOn w:val="Normal"/>
    <w:next w:val="Normal"/>
    <w:autoRedefine/>
    <w:uiPriority w:val="39"/>
    <w:locked/>
    <w:rsid w:val="00A16FD5"/>
    <w:pPr>
      <w:ind w:left="440"/>
      <w:jc w:val="left"/>
    </w:pPr>
    <w:rPr>
      <w:rFonts w:asciiTheme="minorHAnsi" w:hAnsiTheme="minorHAnsi" w:cstheme="minorHAnsi"/>
      <w:sz w:val="20"/>
      <w:szCs w:val="20"/>
    </w:rPr>
  </w:style>
  <w:style w:type="paragraph" w:styleId="TOC5">
    <w:name w:val="toc 5"/>
    <w:basedOn w:val="Normal"/>
    <w:next w:val="Normal"/>
    <w:autoRedefine/>
    <w:uiPriority w:val="39"/>
    <w:locked/>
    <w:rsid w:val="002E52F6"/>
    <w:pPr>
      <w:ind w:left="660"/>
      <w:jc w:val="left"/>
    </w:pPr>
    <w:rPr>
      <w:rFonts w:asciiTheme="minorHAnsi" w:hAnsiTheme="minorHAnsi" w:cstheme="minorHAnsi"/>
      <w:sz w:val="20"/>
      <w:szCs w:val="20"/>
    </w:rPr>
  </w:style>
  <w:style w:type="paragraph" w:customStyle="1" w:styleId="Subheading">
    <w:name w:val="Subheading"/>
    <w:basedOn w:val="BodyText"/>
    <w:rsid w:val="00817D1E"/>
    <w:rPr>
      <w:b/>
      <w:i/>
    </w:rPr>
  </w:style>
  <w:style w:type="character" w:customStyle="1" w:styleId="HeaderChar">
    <w:name w:val="Header Char"/>
    <w:link w:val="Header"/>
    <w:rsid w:val="00645EB3"/>
    <w:rPr>
      <w:rFonts w:eastAsia="ヒラギノ角ゴ Pro W3"/>
      <w:color w:val="000000"/>
      <w:sz w:val="24"/>
      <w:szCs w:val="24"/>
      <w:lang w:val="en-GB" w:eastAsia="en-US" w:bidi="ar-SA"/>
    </w:rPr>
  </w:style>
  <w:style w:type="character" w:customStyle="1" w:styleId="Heading1Char">
    <w:name w:val="Heading 1 Char"/>
    <w:link w:val="Heading1"/>
    <w:rsid w:val="002E52F6"/>
    <w:rPr>
      <w:rFonts w:ascii="Arial" w:eastAsia="ヒラギノ角ゴ Pro W3" w:hAnsi="Arial" w:cs="Arial"/>
      <w:b/>
      <w:bCs/>
      <w:color w:val="000000"/>
      <w:kern w:val="32"/>
      <w:sz w:val="40"/>
      <w:szCs w:val="40"/>
      <w:lang w:eastAsia="en-US"/>
    </w:rPr>
  </w:style>
  <w:style w:type="character" w:customStyle="1" w:styleId="Heading6Char">
    <w:name w:val="Heading 6 Char"/>
    <w:link w:val="Heading6"/>
    <w:rsid w:val="00603B3C"/>
    <w:rPr>
      <w:sz w:val="22"/>
      <w:szCs w:val="22"/>
      <w:lang w:eastAsia="da-DK"/>
    </w:rPr>
  </w:style>
  <w:style w:type="character" w:customStyle="1" w:styleId="Heading7Char">
    <w:name w:val="Heading 7 Char"/>
    <w:link w:val="Heading7"/>
    <w:rsid w:val="00603B3C"/>
    <w:rPr>
      <w:b/>
      <w:bCs/>
      <w:sz w:val="22"/>
      <w:szCs w:val="22"/>
      <w:lang w:eastAsia="da-DK"/>
    </w:rPr>
  </w:style>
  <w:style w:type="character" w:customStyle="1" w:styleId="BodyTextChar">
    <w:name w:val="Body Text Char"/>
    <w:link w:val="BodyText"/>
    <w:rsid w:val="00645EB3"/>
    <w:rPr>
      <w:sz w:val="22"/>
      <w:szCs w:val="22"/>
      <w:lang w:val="en-GB" w:eastAsia="da-DK" w:bidi="ar-SA"/>
    </w:rPr>
  </w:style>
  <w:style w:type="paragraph" w:styleId="TOC8">
    <w:name w:val="toc 8"/>
    <w:basedOn w:val="Normal"/>
    <w:next w:val="Normal"/>
    <w:autoRedefine/>
    <w:semiHidden/>
    <w:locked/>
    <w:rsid w:val="00C3129F"/>
    <w:pPr>
      <w:ind w:left="1320"/>
      <w:jc w:val="left"/>
    </w:pPr>
    <w:rPr>
      <w:rFonts w:asciiTheme="minorHAnsi" w:hAnsiTheme="minorHAnsi" w:cstheme="minorHAnsi"/>
      <w:sz w:val="20"/>
      <w:szCs w:val="20"/>
    </w:rPr>
  </w:style>
  <w:style w:type="paragraph" w:styleId="TOC9">
    <w:name w:val="toc 9"/>
    <w:basedOn w:val="Normal"/>
    <w:next w:val="Normal"/>
    <w:autoRedefine/>
    <w:semiHidden/>
    <w:locked/>
    <w:rsid w:val="00C3129F"/>
    <w:pPr>
      <w:ind w:left="1540"/>
      <w:jc w:val="left"/>
    </w:pPr>
    <w:rPr>
      <w:rFonts w:asciiTheme="minorHAnsi" w:hAnsiTheme="minorHAnsi" w:cstheme="minorHAnsi"/>
      <w:sz w:val="20"/>
      <w:szCs w:val="20"/>
    </w:rPr>
  </w:style>
  <w:style w:type="paragraph" w:styleId="Caption">
    <w:name w:val="caption"/>
    <w:basedOn w:val="Normal"/>
    <w:next w:val="Normal"/>
    <w:uiPriority w:val="35"/>
    <w:qFormat/>
    <w:locked/>
    <w:rsid w:val="00B85726"/>
    <w:pPr>
      <w:spacing w:before="240" w:after="240"/>
      <w:ind w:left="1418" w:hanging="1418"/>
      <w:jc w:val="center"/>
    </w:pPr>
    <w:rPr>
      <w:bCs/>
      <w:szCs w:val="20"/>
    </w:rPr>
  </w:style>
  <w:style w:type="paragraph" w:styleId="Footer">
    <w:name w:val="footer"/>
    <w:basedOn w:val="Normal"/>
    <w:link w:val="FooterChar"/>
    <w:locked/>
    <w:rsid w:val="00930EEE"/>
    <w:pPr>
      <w:tabs>
        <w:tab w:val="center" w:pos="4513"/>
        <w:tab w:val="right" w:pos="9026"/>
      </w:tabs>
    </w:pPr>
  </w:style>
  <w:style w:type="character" w:customStyle="1" w:styleId="FooterChar">
    <w:name w:val="Footer Char"/>
    <w:link w:val="Footer"/>
    <w:rsid w:val="00930EEE"/>
    <w:rPr>
      <w:rFonts w:eastAsia="ヒラギノ角ゴ Pro W3"/>
      <w:color w:val="000000"/>
      <w:sz w:val="24"/>
      <w:szCs w:val="24"/>
      <w:lang w:eastAsia="en-US"/>
    </w:rPr>
  </w:style>
  <w:style w:type="character" w:customStyle="1" w:styleId="NotetoedpubChar">
    <w:name w:val="Note to ed/pub Char"/>
    <w:link w:val="Notetoedpub"/>
    <w:rsid w:val="00AD61C9"/>
    <w:rPr>
      <w:rFonts w:eastAsia="ヒラギノ角ゴ Pro W3"/>
      <w:b/>
      <w:i/>
      <w:color w:val="000000"/>
      <w:sz w:val="24"/>
      <w:szCs w:val="24"/>
      <w:lang w:val="en-GB"/>
    </w:rPr>
  </w:style>
  <w:style w:type="character" w:styleId="CommentReference">
    <w:name w:val="annotation reference"/>
    <w:uiPriority w:val="99"/>
    <w:locked/>
    <w:rsid w:val="002A30B5"/>
    <w:rPr>
      <w:sz w:val="16"/>
      <w:szCs w:val="16"/>
    </w:rPr>
  </w:style>
  <w:style w:type="paragraph" w:styleId="CommentText">
    <w:name w:val="annotation text"/>
    <w:basedOn w:val="Normal"/>
    <w:link w:val="CommentTextChar"/>
    <w:uiPriority w:val="99"/>
    <w:locked/>
    <w:rsid w:val="002A30B5"/>
    <w:rPr>
      <w:sz w:val="20"/>
      <w:szCs w:val="20"/>
    </w:rPr>
  </w:style>
  <w:style w:type="character" w:customStyle="1" w:styleId="CommentTextChar">
    <w:name w:val="Comment Text Char"/>
    <w:link w:val="CommentText"/>
    <w:uiPriority w:val="99"/>
    <w:rsid w:val="002A30B5"/>
    <w:rPr>
      <w:rFonts w:eastAsia="ヒラギノ角ゴ Pro W3"/>
      <w:color w:val="000000"/>
      <w:lang w:eastAsia="en-US"/>
    </w:rPr>
  </w:style>
  <w:style w:type="paragraph" w:styleId="CommentSubject">
    <w:name w:val="annotation subject"/>
    <w:basedOn w:val="CommentText"/>
    <w:next w:val="CommentText"/>
    <w:link w:val="CommentSubjectChar"/>
    <w:locked/>
    <w:rsid w:val="002A30B5"/>
    <w:rPr>
      <w:b/>
      <w:bCs/>
    </w:rPr>
  </w:style>
  <w:style w:type="character" w:customStyle="1" w:styleId="CommentSubjectChar">
    <w:name w:val="Comment Subject Char"/>
    <w:link w:val="CommentSubject"/>
    <w:rsid w:val="002A30B5"/>
    <w:rPr>
      <w:rFonts w:eastAsia="ヒラギノ角ゴ Pro W3"/>
      <w:b/>
      <w:bCs/>
      <w:color w:val="000000"/>
      <w:lang w:eastAsia="en-US"/>
    </w:rPr>
  </w:style>
  <w:style w:type="paragraph" w:styleId="BalloonText">
    <w:name w:val="Balloon Text"/>
    <w:basedOn w:val="Normal"/>
    <w:link w:val="BalloonTextChar"/>
    <w:locked/>
    <w:rsid w:val="002A30B5"/>
    <w:rPr>
      <w:rFonts w:ascii="Tahoma" w:hAnsi="Tahoma" w:cs="Tahoma"/>
      <w:sz w:val="16"/>
      <w:szCs w:val="16"/>
    </w:rPr>
  </w:style>
  <w:style w:type="character" w:customStyle="1" w:styleId="BalloonTextChar">
    <w:name w:val="Balloon Text Char"/>
    <w:link w:val="BalloonText"/>
    <w:rsid w:val="002A30B5"/>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2A30B5"/>
    <w:pPr>
      <w:spacing w:after="200" w:line="276" w:lineRule="auto"/>
      <w:ind w:left="720"/>
      <w:contextualSpacing/>
      <w:jc w:val="left"/>
    </w:pPr>
    <w:rPr>
      <w:rFonts w:ascii="Calibri" w:eastAsia="Calibri" w:hAnsi="Calibri"/>
      <w:color w:val="auto"/>
      <w:szCs w:val="22"/>
    </w:rPr>
  </w:style>
  <w:style w:type="character" w:customStyle="1" w:styleId="FootnoteTextChar">
    <w:name w:val="Footnote Text Char"/>
    <w:aliases w:val="Testo nota a piè di pagina Carattere Carattere Char,Testo nota a piè di pagina Carattere Char,Testo nota a piè di pagina Carattere1 Carattere Char,Testo nota a piè di pagina Carattere Carattere Carattere Carattere Char"/>
    <w:link w:val="FootnoteText"/>
    <w:uiPriority w:val="99"/>
    <w:rsid w:val="00820F65"/>
    <w:rPr>
      <w:rFonts w:eastAsia="ヒラギノ角ゴ Pro W3"/>
      <w:color w:val="000000"/>
      <w:lang w:eastAsia="en-US"/>
    </w:rPr>
  </w:style>
  <w:style w:type="paragraph" w:styleId="NoSpacing">
    <w:name w:val="No Spacing"/>
    <w:uiPriority w:val="1"/>
    <w:qFormat/>
    <w:rsid w:val="00B120EE"/>
    <w:rPr>
      <w:rFonts w:ascii="Calibri" w:eastAsia="Calibri" w:hAnsi="Calibri"/>
      <w:sz w:val="22"/>
      <w:szCs w:val="22"/>
      <w:lang w:val="mk-MK" w:eastAsia="en-US"/>
    </w:rPr>
  </w:style>
  <w:style w:type="paragraph" w:styleId="PlainText">
    <w:name w:val="Plain Text"/>
    <w:basedOn w:val="Normal"/>
    <w:link w:val="PlainTextChar"/>
    <w:uiPriority w:val="99"/>
    <w:unhideWhenUsed/>
    <w:locked/>
    <w:rsid w:val="00382158"/>
    <w:pPr>
      <w:jc w:val="left"/>
    </w:pPr>
    <w:rPr>
      <w:rFonts w:ascii="Calibri" w:eastAsia="Calibri" w:hAnsi="Calibri"/>
      <w:color w:val="auto"/>
      <w:szCs w:val="21"/>
    </w:rPr>
  </w:style>
  <w:style w:type="character" w:customStyle="1" w:styleId="PlainTextChar">
    <w:name w:val="Plain Text Char"/>
    <w:link w:val="PlainText"/>
    <w:uiPriority w:val="99"/>
    <w:rsid w:val="00382158"/>
    <w:rPr>
      <w:rFonts w:ascii="Calibri" w:eastAsia="Calibri" w:hAnsi="Calibri"/>
      <w:sz w:val="22"/>
      <w:szCs w:val="21"/>
      <w:lang w:eastAsia="en-US"/>
    </w:rPr>
  </w:style>
  <w:style w:type="paragraph" w:styleId="NormalWeb">
    <w:name w:val="Normal (Web)"/>
    <w:basedOn w:val="Normal"/>
    <w:uiPriority w:val="99"/>
    <w:unhideWhenUsed/>
    <w:locked/>
    <w:rsid w:val="00A8443F"/>
    <w:pPr>
      <w:spacing w:before="100" w:beforeAutospacing="1" w:after="100" w:afterAutospacing="1"/>
      <w:jc w:val="left"/>
    </w:pPr>
    <w:rPr>
      <w:rFonts w:eastAsia="Times New Roman"/>
      <w:color w:val="auto"/>
      <w:sz w:val="24"/>
      <w:lang w:eastAsia="en-GB"/>
    </w:rPr>
  </w:style>
  <w:style w:type="character" w:customStyle="1" w:styleId="apple-converted-space">
    <w:name w:val="apple-converted-space"/>
    <w:basedOn w:val="DefaultParagraphFont"/>
    <w:rsid w:val="00A8443F"/>
  </w:style>
  <w:style w:type="character" w:styleId="Emphasis">
    <w:name w:val="Emphasis"/>
    <w:basedOn w:val="DefaultParagraphFont"/>
    <w:qFormat/>
    <w:locked/>
    <w:rsid w:val="00E65EE4"/>
    <w:rPr>
      <w:i/>
      <w:iCs/>
    </w:rPr>
  </w:style>
  <w:style w:type="character" w:styleId="Strong">
    <w:name w:val="Strong"/>
    <w:basedOn w:val="DefaultParagraphFont"/>
    <w:uiPriority w:val="22"/>
    <w:qFormat/>
    <w:locked/>
    <w:rsid w:val="006B0B39"/>
    <w:rPr>
      <w:b/>
      <w:bCs/>
    </w:rPr>
  </w:style>
  <w:style w:type="character" w:customStyle="1" w:styleId="Heading2Char">
    <w:name w:val="Heading 2 Char"/>
    <w:basedOn w:val="DefaultParagraphFont"/>
    <w:link w:val="Heading2"/>
    <w:rsid w:val="00D56799"/>
    <w:rPr>
      <w:rFonts w:ascii="Arial" w:eastAsia="ヒラギノ角ゴ Pro W3" w:hAnsi="Arial" w:cs="Arial"/>
      <w:b/>
      <w:bCs/>
      <w:iCs/>
      <w:color w:val="000000"/>
      <w:sz w:val="24"/>
      <w:szCs w:val="24"/>
      <w:lang w:eastAsia="en-US"/>
    </w:rPr>
  </w:style>
  <w:style w:type="paragraph" w:styleId="TOC1">
    <w:name w:val="toc 1"/>
    <w:basedOn w:val="Normal"/>
    <w:next w:val="Normal"/>
    <w:autoRedefine/>
    <w:uiPriority w:val="39"/>
    <w:locked/>
    <w:rsid w:val="006638A5"/>
    <w:pPr>
      <w:tabs>
        <w:tab w:val="left" w:pos="1134"/>
        <w:tab w:val="right" w:leader="dot" w:pos="9010"/>
      </w:tabs>
      <w:jc w:val="left"/>
    </w:pPr>
    <w:rPr>
      <w:rFonts w:asciiTheme="majorHAnsi" w:hAnsiTheme="majorHAnsi"/>
      <w:b/>
      <w:bCs/>
      <w:caps/>
      <w:sz w:val="24"/>
    </w:rPr>
  </w:style>
  <w:style w:type="paragraph" w:styleId="TOC6">
    <w:name w:val="toc 6"/>
    <w:basedOn w:val="Normal"/>
    <w:next w:val="Normal"/>
    <w:autoRedefine/>
    <w:locked/>
    <w:rsid w:val="00563077"/>
    <w:pPr>
      <w:ind w:left="880"/>
      <w:jc w:val="left"/>
    </w:pPr>
    <w:rPr>
      <w:rFonts w:asciiTheme="minorHAnsi" w:hAnsiTheme="minorHAnsi" w:cstheme="minorHAnsi"/>
      <w:sz w:val="20"/>
      <w:szCs w:val="20"/>
    </w:rPr>
  </w:style>
  <w:style w:type="paragraph" w:styleId="TOC7">
    <w:name w:val="toc 7"/>
    <w:basedOn w:val="Normal"/>
    <w:next w:val="Normal"/>
    <w:autoRedefine/>
    <w:locked/>
    <w:rsid w:val="00563077"/>
    <w:pPr>
      <w:ind w:left="1100"/>
      <w:jc w:val="left"/>
    </w:pPr>
    <w:rPr>
      <w:rFonts w:asciiTheme="minorHAnsi" w:hAnsiTheme="minorHAnsi" w:cstheme="minorHAnsi"/>
      <w:sz w:val="20"/>
      <w:szCs w:val="20"/>
    </w:rPr>
  </w:style>
  <w:style w:type="character" w:customStyle="1" w:styleId="link-mailto">
    <w:name w:val="link-mailto"/>
    <w:basedOn w:val="DefaultParagraphFont"/>
    <w:rsid w:val="00BD5E57"/>
  </w:style>
  <w:style w:type="character" w:styleId="FollowedHyperlink">
    <w:name w:val="FollowedHyperlink"/>
    <w:basedOn w:val="DefaultParagraphFont"/>
    <w:semiHidden/>
    <w:unhideWhenUsed/>
    <w:locked/>
    <w:rsid w:val="00BD0AD9"/>
    <w:rPr>
      <w:color w:val="800080" w:themeColor="followedHyperlink"/>
      <w:u w:val="single"/>
    </w:rPr>
  </w:style>
  <w:style w:type="paragraph" w:styleId="TOCHeading">
    <w:name w:val="TOC Heading"/>
    <w:basedOn w:val="Heading1"/>
    <w:next w:val="Normal"/>
    <w:uiPriority w:val="39"/>
    <w:unhideWhenUsed/>
    <w:qFormat/>
    <w:rsid w:val="002F3F0A"/>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BodyText2">
    <w:name w:val="Body Text 2"/>
    <w:basedOn w:val="Normal"/>
    <w:link w:val="BodyText2Char"/>
    <w:semiHidden/>
    <w:unhideWhenUsed/>
    <w:locked/>
    <w:rsid w:val="00881496"/>
    <w:pPr>
      <w:spacing w:line="480" w:lineRule="auto"/>
    </w:pPr>
  </w:style>
  <w:style w:type="character" w:customStyle="1" w:styleId="BodyText2Char">
    <w:name w:val="Body Text 2 Char"/>
    <w:basedOn w:val="DefaultParagraphFont"/>
    <w:link w:val="BodyText2"/>
    <w:semiHidden/>
    <w:rsid w:val="00881496"/>
    <w:rPr>
      <w:rFonts w:eastAsia="ヒラギノ角ゴ Pro W3"/>
      <w:color w:val="000000"/>
      <w:sz w:val="22"/>
      <w:szCs w:val="24"/>
      <w:lang w:eastAsia="en-US"/>
    </w:rPr>
  </w:style>
  <w:style w:type="paragraph" w:styleId="Revision">
    <w:name w:val="Revision"/>
    <w:hidden/>
    <w:uiPriority w:val="99"/>
    <w:semiHidden/>
    <w:rsid w:val="00622530"/>
    <w:rPr>
      <w:rFonts w:ascii="Arial" w:eastAsia="ヒラギノ角ゴ Pro W3" w:hAnsi="Arial"/>
      <w:color w:val="000000"/>
      <w:sz w:val="22"/>
      <w:szCs w:val="24"/>
      <w:lang w:eastAsia="en-US"/>
    </w:rPr>
  </w:style>
  <w:style w:type="paragraph" w:styleId="Title">
    <w:name w:val="Title"/>
    <w:basedOn w:val="Normal"/>
    <w:next w:val="Normal"/>
    <w:link w:val="TitleChar"/>
    <w:qFormat/>
    <w:locked/>
    <w:rsid w:val="006711AA"/>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val="nl-BE"/>
    </w:rPr>
  </w:style>
  <w:style w:type="character" w:customStyle="1" w:styleId="TitleChar">
    <w:name w:val="Title Char"/>
    <w:basedOn w:val="DefaultParagraphFont"/>
    <w:link w:val="Title"/>
    <w:rsid w:val="006711AA"/>
    <w:rPr>
      <w:rFonts w:asciiTheme="majorHAnsi" w:eastAsiaTheme="majorEastAsia" w:hAnsiTheme="majorHAnsi" w:cstheme="majorBidi"/>
      <w:color w:val="17365D" w:themeColor="text2" w:themeShade="BF"/>
      <w:spacing w:val="5"/>
      <w:kern w:val="28"/>
      <w:sz w:val="52"/>
      <w:szCs w:val="5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5B4C"/>
    <w:pPr>
      <w:spacing w:before="120" w:after="120"/>
      <w:jc w:val="both"/>
    </w:pPr>
    <w:rPr>
      <w:rFonts w:ascii="Arial" w:eastAsia="ヒラギノ角ゴ Pro W3" w:hAnsi="Arial"/>
      <w:color w:val="000000"/>
      <w:sz w:val="22"/>
      <w:szCs w:val="24"/>
      <w:lang w:eastAsia="en-US"/>
    </w:rPr>
  </w:style>
  <w:style w:type="paragraph" w:styleId="Heading1">
    <w:name w:val="heading 1"/>
    <w:basedOn w:val="Normal"/>
    <w:next w:val="Normal"/>
    <w:link w:val="Heading1Char"/>
    <w:qFormat/>
    <w:locked/>
    <w:rsid w:val="002E52F6"/>
    <w:pPr>
      <w:keepNext/>
      <w:numPr>
        <w:numId w:val="3"/>
      </w:numPr>
      <w:spacing w:before="360" w:after="240"/>
      <w:jc w:val="left"/>
      <w:outlineLvl w:val="0"/>
    </w:pPr>
    <w:rPr>
      <w:rFonts w:cs="Arial"/>
      <w:b/>
      <w:bCs/>
      <w:kern w:val="32"/>
      <w:sz w:val="40"/>
      <w:szCs w:val="40"/>
    </w:rPr>
  </w:style>
  <w:style w:type="paragraph" w:styleId="Heading2">
    <w:name w:val="heading 2"/>
    <w:basedOn w:val="Normal"/>
    <w:next w:val="Normal"/>
    <w:link w:val="Heading2Char"/>
    <w:qFormat/>
    <w:locked/>
    <w:rsid w:val="00D56799"/>
    <w:pPr>
      <w:keepNext/>
      <w:numPr>
        <w:ilvl w:val="1"/>
        <w:numId w:val="3"/>
      </w:numPr>
      <w:spacing w:after="240"/>
      <w:jc w:val="left"/>
      <w:outlineLvl w:val="1"/>
    </w:pPr>
    <w:rPr>
      <w:rFonts w:cs="Arial"/>
      <w:b/>
      <w:bCs/>
      <w:iCs/>
      <w:sz w:val="24"/>
    </w:rPr>
  </w:style>
  <w:style w:type="paragraph" w:styleId="Heading3">
    <w:name w:val="heading 3"/>
    <w:basedOn w:val="Normal"/>
    <w:next w:val="Normal"/>
    <w:qFormat/>
    <w:locked/>
    <w:rsid w:val="00D56799"/>
    <w:pPr>
      <w:keepNext/>
      <w:numPr>
        <w:ilvl w:val="2"/>
        <w:numId w:val="3"/>
      </w:numPr>
      <w:spacing w:after="240"/>
      <w:outlineLvl w:val="2"/>
    </w:pPr>
    <w:rPr>
      <w:rFonts w:cs="Arial"/>
      <w:b/>
      <w:bCs/>
      <w:i/>
      <w:szCs w:val="26"/>
    </w:rPr>
  </w:style>
  <w:style w:type="paragraph" w:styleId="Heading4">
    <w:name w:val="heading 4"/>
    <w:basedOn w:val="Heading1"/>
    <w:next w:val="Normal"/>
    <w:qFormat/>
    <w:locked/>
    <w:rsid w:val="00362DF5"/>
    <w:pPr>
      <w:numPr>
        <w:numId w:val="0"/>
      </w:numPr>
      <w:spacing w:before="0"/>
      <w:outlineLvl w:val="3"/>
    </w:pPr>
  </w:style>
  <w:style w:type="paragraph" w:styleId="Heading5">
    <w:name w:val="heading 5"/>
    <w:basedOn w:val="Heading4"/>
    <w:next w:val="Normal"/>
    <w:locked/>
    <w:rsid w:val="00342897"/>
    <w:pPr>
      <w:numPr>
        <w:numId w:val="4"/>
      </w:numPr>
      <w:ind w:left="1843" w:hanging="1843"/>
      <w:outlineLvl w:val="4"/>
    </w:pPr>
  </w:style>
  <w:style w:type="paragraph" w:styleId="Heading6">
    <w:name w:val="heading 6"/>
    <w:basedOn w:val="Heading5"/>
    <w:next w:val="Normal"/>
    <w:link w:val="Heading6Char"/>
    <w:locked/>
    <w:rsid w:val="00603B3C"/>
    <w:pPr>
      <w:outlineLvl w:val="5"/>
    </w:pPr>
    <w:rPr>
      <w:rFonts w:ascii="Times New Roman" w:eastAsia="Times New Roman" w:hAnsi="Times New Roman" w:cs="Times New Roman"/>
      <w:b w:val="0"/>
      <w:bCs w:val="0"/>
      <w:color w:val="auto"/>
      <w:kern w:val="0"/>
      <w:sz w:val="22"/>
      <w:szCs w:val="22"/>
      <w:lang w:eastAsia="da-DK"/>
    </w:rPr>
  </w:style>
  <w:style w:type="paragraph" w:styleId="Heading7">
    <w:name w:val="heading 7"/>
    <w:basedOn w:val="Heading6"/>
    <w:next w:val="Normal"/>
    <w:link w:val="Heading7Char"/>
    <w:locked/>
    <w:rsid w:val="00603B3C"/>
    <w:pPr>
      <w:outlineLvl w:val="6"/>
    </w:pPr>
    <w:rPr>
      <w:b/>
      <w:bCs/>
    </w:rPr>
  </w:style>
  <w:style w:type="paragraph" w:styleId="Heading8">
    <w:name w:val="heading 8"/>
    <w:basedOn w:val="Heading7"/>
    <w:next w:val="Normal"/>
    <w:qFormat/>
    <w:locked/>
    <w:rsid w:val="00603B3C"/>
    <w:pPr>
      <w:outlineLvl w:val="7"/>
    </w:pPr>
  </w:style>
  <w:style w:type="paragraph" w:styleId="Heading9">
    <w:name w:val="heading 9"/>
    <w:basedOn w:val="Heading8"/>
    <w:next w:val="Normal"/>
    <w:qFormat/>
    <w:locked/>
    <w:rsid w:val="00603B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C0F"/>
    <w:pPr>
      <w:autoSpaceDE w:val="0"/>
      <w:autoSpaceDN w:val="0"/>
      <w:adjustRightInd w:val="0"/>
    </w:pPr>
    <w:rPr>
      <w:color w:val="000000"/>
      <w:sz w:val="24"/>
      <w:szCs w:val="24"/>
    </w:rPr>
  </w:style>
  <w:style w:type="paragraph" w:customStyle="1" w:styleId="Bullettext">
    <w:name w:val="Bullet text"/>
    <w:basedOn w:val="Normal"/>
    <w:rsid w:val="00827CCB"/>
    <w:pPr>
      <w:numPr>
        <w:numId w:val="2"/>
      </w:numPr>
      <w:tabs>
        <w:tab w:val="clear" w:pos="1770"/>
      </w:tabs>
      <w:ind w:left="357" w:hanging="357"/>
      <w:jc w:val="left"/>
    </w:pPr>
  </w:style>
  <w:style w:type="paragraph" w:customStyle="1" w:styleId="Numberedtext">
    <w:name w:val="Numbered text"/>
    <w:basedOn w:val="Normal"/>
    <w:rsid w:val="009F4427"/>
    <w:pPr>
      <w:numPr>
        <w:numId w:val="1"/>
      </w:numPr>
      <w:spacing w:after="240"/>
      <w:ind w:left="284" w:hanging="284"/>
      <w:jc w:val="left"/>
    </w:pPr>
  </w:style>
  <w:style w:type="paragraph" w:customStyle="1" w:styleId="Footnote">
    <w:name w:val="Footnote"/>
    <w:basedOn w:val="Normal"/>
    <w:rsid w:val="00402F02"/>
    <w:pPr>
      <w:spacing w:after="60"/>
    </w:pPr>
    <w:rPr>
      <w:sz w:val="18"/>
      <w:szCs w:val="18"/>
    </w:rPr>
  </w:style>
  <w:style w:type="character" w:styleId="Hyperlink">
    <w:name w:val="Hyperlink"/>
    <w:uiPriority w:val="99"/>
    <w:locked/>
    <w:rsid w:val="00603B3C"/>
    <w:rPr>
      <w:color w:val="0000FF"/>
      <w:u w:val="single"/>
    </w:rPr>
  </w:style>
  <w:style w:type="character" w:customStyle="1" w:styleId="Unknown0">
    <w:name w:val="Unknown 0"/>
    <w:basedOn w:val="DefaultParagraphFont"/>
    <w:semiHidden/>
  </w:style>
  <w:style w:type="character" w:customStyle="1" w:styleId="Unknown1">
    <w:name w:val="Unknown 1"/>
    <w:basedOn w:val="DefaultParagraphFont"/>
    <w:autoRedefine/>
    <w:semiHidden/>
  </w:style>
  <w:style w:type="paragraph" w:styleId="FootnoteText">
    <w:name w:val="footnote text"/>
    <w:aliases w:val="Testo nota a piè di pagina Carattere Carattere,Testo nota a piè di pagina Carattere,Testo nota a piè di pagina Carattere1 Carattere,Testo nota a piè di pagina Carattere Carattere Carattere Carattere,Fußnotentext Char"/>
    <w:basedOn w:val="Normal"/>
    <w:link w:val="FootnoteTextChar"/>
    <w:uiPriority w:val="99"/>
    <w:locked/>
    <w:rsid w:val="004E79B7"/>
    <w:rPr>
      <w:sz w:val="20"/>
      <w:szCs w:val="20"/>
    </w:rPr>
  </w:style>
  <w:style w:type="character" w:styleId="FootnoteReference">
    <w:name w:val="footnote reference"/>
    <w:aliases w:val="number,BVI fnr,Odwołanie przypisu,Footnote Reference2,Footnote Reference Number,E FNZ,-E Fußnotenzeichen,Footnote#,Footnote symbol,Times 10 Point,Exposant 3 Point,Ref,de nota al pie,Footnote reference number,note TESI,SUPER"/>
    <w:uiPriority w:val="99"/>
    <w:locked/>
    <w:rsid w:val="004E79B7"/>
    <w:rPr>
      <w:vertAlign w:val="superscript"/>
    </w:rPr>
  </w:style>
  <w:style w:type="paragraph" w:styleId="TOC2">
    <w:name w:val="toc 2"/>
    <w:basedOn w:val="Normal"/>
    <w:next w:val="Normal"/>
    <w:autoRedefine/>
    <w:uiPriority w:val="39"/>
    <w:locked/>
    <w:rsid w:val="006638A5"/>
    <w:pPr>
      <w:tabs>
        <w:tab w:val="left" w:pos="1134"/>
        <w:tab w:val="right" w:leader="dot" w:pos="9010"/>
      </w:tabs>
      <w:ind w:left="1134" w:hanging="567"/>
      <w:jc w:val="left"/>
    </w:pPr>
    <w:rPr>
      <w:rFonts w:asciiTheme="minorHAnsi" w:hAnsiTheme="minorHAnsi" w:cstheme="minorHAnsi"/>
      <w:b/>
      <w:bCs/>
      <w:sz w:val="20"/>
      <w:szCs w:val="20"/>
    </w:rPr>
  </w:style>
  <w:style w:type="paragraph" w:styleId="TOC3">
    <w:name w:val="toc 3"/>
    <w:basedOn w:val="Normal"/>
    <w:next w:val="Normal"/>
    <w:autoRedefine/>
    <w:uiPriority w:val="39"/>
    <w:locked/>
    <w:rsid w:val="006638A5"/>
    <w:pPr>
      <w:tabs>
        <w:tab w:val="left" w:pos="1134"/>
        <w:tab w:val="right" w:leader="dot" w:pos="9010"/>
      </w:tabs>
      <w:ind w:left="1134" w:hanging="567"/>
      <w:jc w:val="left"/>
    </w:pPr>
    <w:rPr>
      <w:rFonts w:asciiTheme="minorHAnsi" w:hAnsiTheme="minorHAnsi" w:cstheme="minorHAnsi"/>
      <w:sz w:val="20"/>
      <w:szCs w:val="20"/>
    </w:rPr>
  </w:style>
  <w:style w:type="paragraph" w:customStyle="1" w:styleId="Cover-title1">
    <w:name w:val="Cover - title 1"/>
    <w:basedOn w:val="Normal"/>
    <w:next w:val="Normal"/>
    <w:rsid w:val="000621DE"/>
    <w:pPr>
      <w:overflowPunct w:val="0"/>
      <w:autoSpaceDE w:val="0"/>
      <w:autoSpaceDN w:val="0"/>
      <w:adjustRightInd w:val="0"/>
      <w:jc w:val="right"/>
      <w:textAlignment w:val="baseline"/>
    </w:pPr>
    <w:rPr>
      <w:rFonts w:eastAsia="Times New Roman"/>
      <w:b/>
      <w:color w:val="auto"/>
      <w:sz w:val="44"/>
      <w:szCs w:val="44"/>
      <w:lang w:eastAsia="da-DK"/>
    </w:rPr>
  </w:style>
  <w:style w:type="paragraph" w:customStyle="1" w:styleId="Cover-title3">
    <w:name w:val="Cover - title 3"/>
    <w:basedOn w:val="Normal"/>
    <w:next w:val="Normal"/>
    <w:rsid w:val="00402EE1"/>
    <w:pPr>
      <w:overflowPunct w:val="0"/>
      <w:autoSpaceDE w:val="0"/>
      <w:autoSpaceDN w:val="0"/>
      <w:adjustRightInd w:val="0"/>
      <w:jc w:val="right"/>
      <w:textAlignment w:val="baseline"/>
    </w:pPr>
    <w:rPr>
      <w:rFonts w:eastAsia="Times New Roman"/>
      <w:b/>
      <w:color w:val="auto"/>
      <w:szCs w:val="20"/>
      <w:lang w:eastAsia="da-DK"/>
    </w:rPr>
  </w:style>
  <w:style w:type="paragraph" w:customStyle="1" w:styleId="Notetoedpub">
    <w:name w:val="Note to ed/pub"/>
    <w:basedOn w:val="Normal"/>
    <w:link w:val="NotetoedpubChar"/>
    <w:qFormat/>
    <w:rsid w:val="00AD61C9"/>
    <w:pPr>
      <w:spacing w:after="240"/>
    </w:pPr>
    <w:rPr>
      <w:b/>
      <w:i/>
    </w:rPr>
  </w:style>
  <w:style w:type="paragraph" w:customStyle="1" w:styleId="Graphicsourcenotes">
    <w:name w:val="Graphic source/notes"/>
    <w:basedOn w:val="Normal"/>
    <w:next w:val="Normal"/>
    <w:rsid w:val="00633DB4"/>
    <w:pPr>
      <w:overflowPunct w:val="0"/>
      <w:autoSpaceDE w:val="0"/>
      <w:autoSpaceDN w:val="0"/>
      <w:adjustRightInd w:val="0"/>
      <w:jc w:val="left"/>
      <w:textAlignment w:val="baseline"/>
    </w:pPr>
    <w:rPr>
      <w:rFonts w:eastAsia="Times New Roman"/>
      <w:color w:val="auto"/>
      <w:sz w:val="18"/>
      <w:szCs w:val="20"/>
      <w:lang w:eastAsia="da-DK"/>
    </w:rPr>
  </w:style>
  <w:style w:type="paragraph" w:customStyle="1" w:styleId="Cover-title2">
    <w:name w:val="Cover - title 2"/>
    <w:basedOn w:val="Normal"/>
    <w:next w:val="Normal"/>
    <w:rsid w:val="00402EE1"/>
    <w:pPr>
      <w:overflowPunct w:val="0"/>
      <w:autoSpaceDE w:val="0"/>
      <w:autoSpaceDN w:val="0"/>
      <w:adjustRightInd w:val="0"/>
      <w:jc w:val="right"/>
      <w:textAlignment w:val="baseline"/>
    </w:pPr>
    <w:rPr>
      <w:rFonts w:eastAsia="Times New Roman"/>
      <w:b/>
      <w:color w:val="auto"/>
      <w:sz w:val="32"/>
      <w:szCs w:val="20"/>
      <w:lang w:eastAsia="da-DK"/>
    </w:rPr>
  </w:style>
  <w:style w:type="paragraph" w:styleId="BodyText">
    <w:name w:val="Body Text"/>
    <w:basedOn w:val="Normal"/>
    <w:link w:val="BodyTextChar"/>
    <w:locked/>
    <w:rsid w:val="00402EE1"/>
    <w:pPr>
      <w:overflowPunct w:val="0"/>
      <w:autoSpaceDE w:val="0"/>
      <w:autoSpaceDN w:val="0"/>
      <w:adjustRightInd w:val="0"/>
      <w:spacing w:after="240"/>
      <w:jc w:val="left"/>
      <w:textAlignment w:val="baseline"/>
    </w:pPr>
    <w:rPr>
      <w:rFonts w:eastAsia="Times New Roman"/>
      <w:color w:val="auto"/>
      <w:szCs w:val="22"/>
      <w:lang w:eastAsia="da-DK"/>
    </w:rPr>
  </w:style>
  <w:style w:type="paragraph" w:styleId="Header">
    <w:name w:val="header"/>
    <w:basedOn w:val="Normal"/>
    <w:link w:val="HeaderChar"/>
    <w:locked/>
    <w:rsid w:val="00AA0782"/>
    <w:pPr>
      <w:tabs>
        <w:tab w:val="center" w:pos="4153"/>
        <w:tab w:val="right" w:pos="8306"/>
      </w:tabs>
    </w:pPr>
  </w:style>
  <w:style w:type="character" w:styleId="PageNumber">
    <w:name w:val="page number"/>
    <w:basedOn w:val="DefaultParagraphFont"/>
    <w:locked/>
    <w:rsid w:val="00AA0782"/>
  </w:style>
  <w:style w:type="table" w:styleId="TableGrid">
    <w:name w:val="Table Grid"/>
    <w:basedOn w:val="TableNormal"/>
    <w:uiPriority w:val="59"/>
    <w:locked/>
    <w:rsid w:val="00603B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OC4">
    <w:name w:val="toc 4"/>
    <w:basedOn w:val="Normal"/>
    <w:next w:val="Normal"/>
    <w:autoRedefine/>
    <w:uiPriority w:val="39"/>
    <w:locked/>
    <w:rsid w:val="00A16FD5"/>
    <w:pPr>
      <w:ind w:left="440"/>
      <w:jc w:val="left"/>
    </w:pPr>
    <w:rPr>
      <w:rFonts w:asciiTheme="minorHAnsi" w:hAnsiTheme="minorHAnsi" w:cstheme="minorHAnsi"/>
      <w:sz w:val="20"/>
      <w:szCs w:val="20"/>
    </w:rPr>
  </w:style>
  <w:style w:type="paragraph" w:styleId="TOC5">
    <w:name w:val="toc 5"/>
    <w:basedOn w:val="Normal"/>
    <w:next w:val="Normal"/>
    <w:autoRedefine/>
    <w:uiPriority w:val="39"/>
    <w:locked/>
    <w:rsid w:val="002E52F6"/>
    <w:pPr>
      <w:ind w:left="660"/>
      <w:jc w:val="left"/>
    </w:pPr>
    <w:rPr>
      <w:rFonts w:asciiTheme="minorHAnsi" w:hAnsiTheme="minorHAnsi" w:cstheme="minorHAnsi"/>
      <w:sz w:val="20"/>
      <w:szCs w:val="20"/>
    </w:rPr>
  </w:style>
  <w:style w:type="paragraph" w:customStyle="1" w:styleId="Subheading">
    <w:name w:val="Subheading"/>
    <w:basedOn w:val="BodyText"/>
    <w:rsid w:val="00817D1E"/>
    <w:rPr>
      <w:b/>
      <w:i/>
    </w:rPr>
  </w:style>
  <w:style w:type="character" w:customStyle="1" w:styleId="HeaderChar">
    <w:name w:val="Header Char"/>
    <w:link w:val="Header"/>
    <w:rsid w:val="00645EB3"/>
    <w:rPr>
      <w:rFonts w:eastAsia="ヒラギノ角ゴ Pro W3"/>
      <w:color w:val="000000"/>
      <w:sz w:val="24"/>
      <w:szCs w:val="24"/>
      <w:lang w:val="en-GB" w:eastAsia="en-US" w:bidi="ar-SA"/>
    </w:rPr>
  </w:style>
  <w:style w:type="character" w:customStyle="1" w:styleId="Heading1Char">
    <w:name w:val="Heading 1 Char"/>
    <w:link w:val="Heading1"/>
    <w:rsid w:val="002E52F6"/>
    <w:rPr>
      <w:rFonts w:ascii="Arial" w:eastAsia="ヒラギノ角ゴ Pro W3" w:hAnsi="Arial" w:cs="Arial"/>
      <w:b/>
      <w:bCs/>
      <w:color w:val="000000"/>
      <w:kern w:val="32"/>
      <w:sz w:val="40"/>
      <w:szCs w:val="40"/>
      <w:lang w:eastAsia="en-US"/>
    </w:rPr>
  </w:style>
  <w:style w:type="character" w:customStyle="1" w:styleId="Heading6Char">
    <w:name w:val="Heading 6 Char"/>
    <w:link w:val="Heading6"/>
    <w:rsid w:val="00603B3C"/>
    <w:rPr>
      <w:sz w:val="22"/>
      <w:szCs w:val="22"/>
      <w:lang w:eastAsia="da-DK"/>
    </w:rPr>
  </w:style>
  <w:style w:type="character" w:customStyle="1" w:styleId="Heading7Char">
    <w:name w:val="Heading 7 Char"/>
    <w:link w:val="Heading7"/>
    <w:rsid w:val="00603B3C"/>
    <w:rPr>
      <w:b/>
      <w:bCs/>
      <w:sz w:val="22"/>
      <w:szCs w:val="22"/>
      <w:lang w:eastAsia="da-DK"/>
    </w:rPr>
  </w:style>
  <w:style w:type="character" w:customStyle="1" w:styleId="BodyTextChar">
    <w:name w:val="Body Text Char"/>
    <w:link w:val="BodyText"/>
    <w:rsid w:val="00645EB3"/>
    <w:rPr>
      <w:sz w:val="22"/>
      <w:szCs w:val="22"/>
      <w:lang w:val="en-GB" w:eastAsia="da-DK" w:bidi="ar-SA"/>
    </w:rPr>
  </w:style>
  <w:style w:type="paragraph" w:styleId="TOC8">
    <w:name w:val="toc 8"/>
    <w:basedOn w:val="Normal"/>
    <w:next w:val="Normal"/>
    <w:autoRedefine/>
    <w:semiHidden/>
    <w:locked/>
    <w:rsid w:val="00C3129F"/>
    <w:pPr>
      <w:ind w:left="1320"/>
      <w:jc w:val="left"/>
    </w:pPr>
    <w:rPr>
      <w:rFonts w:asciiTheme="minorHAnsi" w:hAnsiTheme="minorHAnsi" w:cstheme="minorHAnsi"/>
      <w:sz w:val="20"/>
      <w:szCs w:val="20"/>
    </w:rPr>
  </w:style>
  <w:style w:type="paragraph" w:styleId="TOC9">
    <w:name w:val="toc 9"/>
    <w:basedOn w:val="Normal"/>
    <w:next w:val="Normal"/>
    <w:autoRedefine/>
    <w:semiHidden/>
    <w:locked/>
    <w:rsid w:val="00C3129F"/>
    <w:pPr>
      <w:ind w:left="1540"/>
      <w:jc w:val="left"/>
    </w:pPr>
    <w:rPr>
      <w:rFonts w:asciiTheme="minorHAnsi" w:hAnsiTheme="minorHAnsi" w:cstheme="minorHAnsi"/>
      <w:sz w:val="20"/>
      <w:szCs w:val="20"/>
    </w:rPr>
  </w:style>
  <w:style w:type="paragraph" w:styleId="Caption">
    <w:name w:val="caption"/>
    <w:basedOn w:val="Normal"/>
    <w:next w:val="Normal"/>
    <w:uiPriority w:val="35"/>
    <w:qFormat/>
    <w:locked/>
    <w:rsid w:val="00B85726"/>
    <w:pPr>
      <w:spacing w:before="240" w:after="240"/>
      <w:ind w:left="1418" w:hanging="1418"/>
      <w:jc w:val="center"/>
    </w:pPr>
    <w:rPr>
      <w:bCs/>
      <w:szCs w:val="20"/>
    </w:rPr>
  </w:style>
  <w:style w:type="paragraph" w:styleId="Footer">
    <w:name w:val="footer"/>
    <w:basedOn w:val="Normal"/>
    <w:link w:val="FooterChar"/>
    <w:locked/>
    <w:rsid w:val="00930EEE"/>
    <w:pPr>
      <w:tabs>
        <w:tab w:val="center" w:pos="4513"/>
        <w:tab w:val="right" w:pos="9026"/>
      </w:tabs>
    </w:pPr>
  </w:style>
  <w:style w:type="character" w:customStyle="1" w:styleId="FooterChar">
    <w:name w:val="Footer Char"/>
    <w:link w:val="Footer"/>
    <w:rsid w:val="00930EEE"/>
    <w:rPr>
      <w:rFonts w:eastAsia="ヒラギノ角ゴ Pro W3"/>
      <w:color w:val="000000"/>
      <w:sz w:val="24"/>
      <w:szCs w:val="24"/>
      <w:lang w:eastAsia="en-US"/>
    </w:rPr>
  </w:style>
  <w:style w:type="character" w:customStyle="1" w:styleId="NotetoedpubChar">
    <w:name w:val="Note to ed/pub Char"/>
    <w:link w:val="Notetoedpub"/>
    <w:rsid w:val="00AD61C9"/>
    <w:rPr>
      <w:rFonts w:eastAsia="ヒラギノ角ゴ Pro W3"/>
      <w:b/>
      <w:i/>
      <w:color w:val="000000"/>
      <w:sz w:val="24"/>
      <w:szCs w:val="24"/>
      <w:lang w:val="en-GB"/>
    </w:rPr>
  </w:style>
  <w:style w:type="character" w:styleId="CommentReference">
    <w:name w:val="annotation reference"/>
    <w:uiPriority w:val="99"/>
    <w:locked/>
    <w:rsid w:val="002A30B5"/>
    <w:rPr>
      <w:sz w:val="16"/>
      <w:szCs w:val="16"/>
    </w:rPr>
  </w:style>
  <w:style w:type="paragraph" w:styleId="CommentText">
    <w:name w:val="annotation text"/>
    <w:basedOn w:val="Normal"/>
    <w:link w:val="CommentTextChar"/>
    <w:uiPriority w:val="99"/>
    <w:locked/>
    <w:rsid w:val="002A30B5"/>
    <w:rPr>
      <w:sz w:val="20"/>
      <w:szCs w:val="20"/>
    </w:rPr>
  </w:style>
  <w:style w:type="character" w:customStyle="1" w:styleId="CommentTextChar">
    <w:name w:val="Comment Text Char"/>
    <w:link w:val="CommentText"/>
    <w:uiPriority w:val="99"/>
    <w:rsid w:val="002A30B5"/>
    <w:rPr>
      <w:rFonts w:eastAsia="ヒラギノ角ゴ Pro W3"/>
      <w:color w:val="000000"/>
      <w:lang w:eastAsia="en-US"/>
    </w:rPr>
  </w:style>
  <w:style w:type="paragraph" w:styleId="CommentSubject">
    <w:name w:val="annotation subject"/>
    <w:basedOn w:val="CommentText"/>
    <w:next w:val="CommentText"/>
    <w:link w:val="CommentSubjectChar"/>
    <w:locked/>
    <w:rsid w:val="002A30B5"/>
    <w:rPr>
      <w:b/>
      <w:bCs/>
    </w:rPr>
  </w:style>
  <w:style w:type="character" w:customStyle="1" w:styleId="CommentSubjectChar">
    <w:name w:val="Comment Subject Char"/>
    <w:link w:val="CommentSubject"/>
    <w:rsid w:val="002A30B5"/>
    <w:rPr>
      <w:rFonts w:eastAsia="ヒラギノ角ゴ Pro W3"/>
      <w:b/>
      <w:bCs/>
      <w:color w:val="000000"/>
      <w:lang w:eastAsia="en-US"/>
    </w:rPr>
  </w:style>
  <w:style w:type="paragraph" w:styleId="BalloonText">
    <w:name w:val="Balloon Text"/>
    <w:basedOn w:val="Normal"/>
    <w:link w:val="BalloonTextChar"/>
    <w:locked/>
    <w:rsid w:val="002A30B5"/>
    <w:rPr>
      <w:rFonts w:ascii="Tahoma" w:hAnsi="Tahoma" w:cs="Tahoma"/>
      <w:sz w:val="16"/>
      <w:szCs w:val="16"/>
    </w:rPr>
  </w:style>
  <w:style w:type="character" w:customStyle="1" w:styleId="BalloonTextChar">
    <w:name w:val="Balloon Text Char"/>
    <w:link w:val="BalloonText"/>
    <w:rsid w:val="002A30B5"/>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2A30B5"/>
    <w:pPr>
      <w:spacing w:after="200" w:line="276" w:lineRule="auto"/>
      <w:ind w:left="720"/>
      <w:contextualSpacing/>
      <w:jc w:val="left"/>
    </w:pPr>
    <w:rPr>
      <w:rFonts w:ascii="Calibri" w:eastAsia="Calibri" w:hAnsi="Calibri"/>
      <w:color w:val="auto"/>
      <w:szCs w:val="22"/>
    </w:rPr>
  </w:style>
  <w:style w:type="character" w:customStyle="1" w:styleId="FootnoteTextChar">
    <w:name w:val="Footnote Text Char"/>
    <w:aliases w:val="Testo nota a piè di pagina Carattere Carattere Char,Testo nota a piè di pagina Carattere Char,Testo nota a piè di pagina Carattere1 Carattere Char,Testo nota a piè di pagina Carattere Carattere Carattere Carattere Char"/>
    <w:link w:val="FootnoteText"/>
    <w:uiPriority w:val="99"/>
    <w:rsid w:val="00820F65"/>
    <w:rPr>
      <w:rFonts w:eastAsia="ヒラギノ角ゴ Pro W3"/>
      <w:color w:val="000000"/>
      <w:lang w:eastAsia="en-US"/>
    </w:rPr>
  </w:style>
  <w:style w:type="paragraph" w:styleId="NoSpacing">
    <w:name w:val="No Spacing"/>
    <w:uiPriority w:val="1"/>
    <w:qFormat/>
    <w:rsid w:val="00B120EE"/>
    <w:rPr>
      <w:rFonts w:ascii="Calibri" w:eastAsia="Calibri" w:hAnsi="Calibri"/>
      <w:sz w:val="22"/>
      <w:szCs w:val="22"/>
      <w:lang w:val="mk-MK" w:eastAsia="en-US"/>
    </w:rPr>
  </w:style>
  <w:style w:type="paragraph" w:styleId="PlainText">
    <w:name w:val="Plain Text"/>
    <w:basedOn w:val="Normal"/>
    <w:link w:val="PlainTextChar"/>
    <w:uiPriority w:val="99"/>
    <w:unhideWhenUsed/>
    <w:locked/>
    <w:rsid w:val="00382158"/>
    <w:pPr>
      <w:jc w:val="left"/>
    </w:pPr>
    <w:rPr>
      <w:rFonts w:ascii="Calibri" w:eastAsia="Calibri" w:hAnsi="Calibri"/>
      <w:color w:val="auto"/>
      <w:szCs w:val="21"/>
    </w:rPr>
  </w:style>
  <w:style w:type="character" w:customStyle="1" w:styleId="PlainTextChar">
    <w:name w:val="Plain Text Char"/>
    <w:link w:val="PlainText"/>
    <w:uiPriority w:val="99"/>
    <w:rsid w:val="00382158"/>
    <w:rPr>
      <w:rFonts w:ascii="Calibri" w:eastAsia="Calibri" w:hAnsi="Calibri"/>
      <w:sz w:val="22"/>
      <w:szCs w:val="21"/>
      <w:lang w:eastAsia="en-US"/>
    </w:rPr>
  </w:style>
  <w:style w:type="paragraph" w:styleId="NormalWeb">
    <w:name w:val="Normal (Web)"/>
    <w:basedOn w:val="Normal"/>
    <w:uiPriority w:val="99"/>
    <w:unhideWhenUsed/>
    <w:locked/>
    <w:rsid w:val="00A8443F"/>
    <w:pPr>
      <w:spacing w:before="100" w:beforeAutospacing="1" w:after="100" w:afterAutospacing="1"/>
      <w:jc w:val="left"/>
    </w:pPr>
    <w:rPr>
      <w:rFonts w:eastAsia="Times New Roman"/>
      <w:color w:val="auto"/>
      <w:sz w:val="24"/>
      <w:lang w:eastAsia="en-GB"/>
    </w:rPr>
  </w:style>
  <w:style w:type="character" w:customStyle="1" w:styleId="apple-converted-space">
    <w:name w:val="apple-converted-space"/>
    <w:basedOn w:val="DefaultParagraphFont"/>
    <w:rsid w:val="00A8443F"/>
  </w:style>
  <w:style w:type="character" w:styleId="Emphasis">
    <w:name w:val="Emphasis"/>
    <w:basedOn w:val="DefaultParagraphFont"/>
    <w:qFormat/>
    <w:locked/>
    <w:rsid w:val="00E65EE4"/>
    <w:rPr>
      <w:i/>
      <w:iCs/>
    </w:rPr>
  </w:style>
  <w:style w:type="character" w:styleId="Strong">
    <w:name w:val="Strong"/>
    <w:basedOn w:val="DefaultParagraphFont"/>
    <w:uiPriority w:val="22"/>
    <w:qFormat/>
    <w:locked/>
    <w:rsid w:val="006B0B39"/>
    <w:rPr>
      <w:b/>
      <w:bCs/>
    </w:rPr>
  </w:style>
  <w:style w:type="character" w:customStyle="1" w:styleId="Heading2Char">
    <w:name w:val="Heading 2 Char"/>
    <w:basedOn w:val="DefaultParagraphFont"/>
    <w:link w:val="Heading2"/>
    <w:rsid w:val="00D56799"/>
    <w:rPr>
      <w:rFonts w:ascii="Arial" w:eastAsia="ヒラギノ角ゴ Pro W3" w:hAnsi="Arial" w:cs="Arial"/>
      <w:b/>
      <w:bCs/>
      <w:iCs/>
      <w:color w:val="000000"/>
      <w:sz w:val="24"/>
      <w:szCs w:val="24"/>
      <w:lang w:eastAsia="en-US"/>
    </w:rPr>
  </w:style>
  <w:style w:type="paragraph" w:styleId="TOC1">
    <w:name w:val="toc 1"/>
    <w:basedOn w:val="Normal"/>
    <w:next w:val="Normal"/>
    <w:autoRedefine/>
    <w:uiPriority w:val="39"/>
    <w:locked/>
    <w:rsid w:val="006638A5"/>
    <w:pPr>
      <w:tabs>
        <w:tab w:val="left" w:pos="1134"/>
        <w:tab w:val="right" w:leader="dot" w:pos="9010"/>
      </w:tabs>
      <w:jc w:val="left"/>
    </w:pPr>
    <w:rPr>
      <w:rFonts w:asciiTheme="majorHAnsi" w:hAnsiTheme="majorHAnsi"/>
      <w:b/>
      <w:bCs/>
      <w:caps/>
      <w:sz w:val="24"/>
    </w:rPr>
  </w:style>
  <w:style w:type="paragraph" w:styleId="TOC6">
    <w:name w:val="toc 6"/>
    <w:basedOn w:val="Normal"/>
    <w:next w:val="Normal"/>
    <w:autoRedefine/>
    <w:locked/>
    <w:rsid w:val="00563077"/>
    <w:pPr>
      <w:ind w:left="880"/>
      <w:jc w:val="left"/>
    </w:pPr>
    <w:rPr>
      <w:rFonts w:asciiTheme="minorHAnsi" w:hAnsiTheme="minorHAnsi" w:cstheme="minorHAnsi"/>
      <w:sz w:val="20"/>
      <w:szCs w:val="20"/>
    </w:rPr>
  </w:style>
  <w:style w:type="paragraph" w:styleId="TOC7">
    <w:name w:val="toc 7"/>
    <w:basedOn w:val="Normal"/>
    <w:next w:val="Normal"/>
    <w:autoRedefine/>
    <w:locked/>
    <w:rsid w:val="00563077"/>
    <w:pPr>
      <w:ind w:left="1100"/>
      <w:jc w:val="left"/>
    </w:pPr>
    <w:rPr>
      <w:rFonts w:asciiTheme="minorHAnsi" w:hAnsiTheme="minorHAnsi" w:cstheme="minorHAnsi"/>
      <w:sz w:val="20"/>
      <w:szCs w:val="20"/>
    </w:rPr>
  </w:style>
  <w:style w:type="character" w:customStyle="1" w:styleId="link-mailto">
    <w:name w:val="link-mailto"/>
    <w:basedOn w:val="DefaultParagraphFont"/>
    <w:rsid w:val="00BD5E57"/>
  </w:style>
  <w:style w:type="character" w:styleId="FollowedHyperlink">
    <w:name w:val="FollowedHyperlink"/>
    <w:basedOn w:val="DefaultParagraphFont"/>
    <w:semiHidden/>
    <w:unhideWhenUsed/>
    <w:locked/>
    <w:rsid w:val="00BD0AD9"/>
    <w:rPr>
      <w:color w:val="800080" w:themeColor="followedHyperlink"/>
      <w:u w:val="single"/>
    </w:rPr>
  </w:style>
  <w:style w:type="paragraph" w:styleId="TOCHeading">
    <w:name w:val="TOC Heading"/>
    <w:basedOn w:val="Heading1"/>
    <w:next w:val="Normal"/>
    <w:uiPriority w:val="39"/>
    <w:unhideWhenUsed/>
    <w:qFormat/>
    <w:rsid w:val="002F3F0A"/>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BodyText2">
    <w:name w:val="Body Text 2"/>
    <w:basedOn w:val="Normal"/>
    <w:link w:val="BodyText2Char"/>
    <w:semiHidden/>
    <w:unhideWhenUsed/>
    <w:locked/>
    <w:rsid w:val="00881496"/>
    <w:pPr>
      <w:spacing w:line="480" w:lineRule="auto"/>
    </w:pPr>
  </w:style>
  <w:style w:type="character" w:customStyle="1" w:styleId="BodyText2Char">
    <w:name w:val="Body Text 2 Char"/>
    <w:basedOn w:val="DefaultParagraphFont"/>
    <w:link w:val="BodyText2"/>
    <w:semiHidden/>
    <w:rsid w:val="00881496"/>
    <w:rPr>
      <w:rFonts w:eastAsia="ヒラギノ角ゴ Pro W3"/>
      <w:color w:val="000000"/>
      <w:sz w:val="22"/>
      <w:szCs w:val="24"/>
      <w:lang w:eastAsia="en-US"/>
    </w:rPr>
  </w:style>
  <w:style w:type="paragraph" w:styleId="Revision">
    <w:name w:val="Revision"/>
    <w:hidden/>
    <w:uiPriority w:val="99"/>
    <w:semiHidden/>
    <w:rsid w:val="00622530"/>
    <w:rPr>
      <w:rFonts w:ascii="Arial" w:eastAsia="ヒラギノ角ゴ Pro W3" w:hAnsi="Arial"/>
      <w:color w:val="000000"/>
      <w:sz w:val="22"/>
      <w:szCs w:val="24"/>
      <w:lang w:eastAsia="en-US"/>
    </w:rPr>
  </w:style>
  <w:style w:type="paragraph" w:styleId="Title">
    <w:name w:val="Title"/>
    <w:basedOn w:val="Normal"/>
    <w:next w:val="Normal"/>
    <w:link w:val="TitleChar"/>
    <w:qFormat/>
    <w:locked/>
    <w:rsid w:val="006711AA"/>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val="nl-BE"/>
    </w:rPr>
  </w:style>
  <w:style w:type="character" w:customStyle="1" w:styleId="TitleChar">
    <w:name w:val="Title Char"/>
    <w:basedOn w:val="DefaultParagraphFont"/>
    <w:link w:val="Title"/>
    <w:rsid w:val="006711AA"/>
    <w:rPr>
      <w:rFonts w:asciiTheme="majorHAnsi" w:eastAsiaTheme="majorEastAsia" w:hAnsiTheme="majorHAnsi" w:cstheme="majorBidi"/>
      <w:color w:val="17365D" w:themeColor="text2" w:themeShade="BF"/>
      <w:spacing w:val="5"/>
      <w:kern w:val="28"/>
      <w:sz w:val="52"/>
      <w:szCs w:val="5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557">
      <w:bodyDiv w:val="1"/>
      <w:marLeft w:val="0"/>
      <w:marRight w:val="0"/>
      <w:marTop w:val="0"/>
      <w:marBottom w:val="0"/>
      <w:divBdr>
        <w:top w:val="none" w:sz="0" w:space="0" w:color="auto"/>
        <w:left w:val="none" w:sz="0" w:space="0" w:color="auto"/>
        <w:bottom w:val="none" w:sz="0" w:space="0" w:color="auto"/>
        <w:right w:val="none" w:sz="0" w:space="0" w:color="auto"/>
      </w:divBdr>
    </w:div>
    <w:div w:id="173150553">
      <w:bodyDiv w:val="1"/>
      <w:marLeft w:val="0"/>
      <w:marRight w:val="0"/>
      <w:marTop w:val="0"/>
      <w:marBottom w:val="0"/>
      <w:divBdr>
        <w:top w:val="none" w:sz="0" w:space="0" w:color="auto"/>
        <w:left w:val="none" w:sz="0" w:space="0" w:color="auto"/>
        <w:bottom w:val="none" w:sz="0" w:space="0" w:color="auto"/>
        <w:right w:val="none" w:sz="0" w:space="0" w:color="auto"/>
      </w:divBdr>
      <w:divsChild>
        <w:div w:id="1746493190">
          <w:marLeft w:val="0"/>
          <w:marRight w:val="0"/>
          <w:marTop w:val="0"/>
          <w:marBottom w:val="0"/>
          <w:divBdr>
            <w:top w:val="none" w:sz="0" w:space="0" w:color="auto"/>
            <w:left w:val="none" w:sz="0" w:space="0" w:color="auto"/>
            <w:bottom w:val="none" w:sz="0" w:space="0" w:color="auto"/>
            <w:right w:val="none" w:sz="0" w:space="0" w:color="auto"/>
          </w:divBdr>
          <w:divsChild>
            <w:div w:id="2094890466">
              <w:marLeft w:val="0"/>
              <w:marRight w:val="0"/>
              <w:marTop w:val="0"/>
              <w:marBottom w:val="0"/>
              <w:divBdr>
                <w:top w:val="none" w:sz="0" w:space="0" w:color="auto"/>
                <w:left w:val="none" w:sz="0" w:space="0" w:color="auto"/>
                <w:bottom w:val="none" w:sz="0" w:space="0" w:color="auto"/>
                <w:right w:val="none" w:sz="0" w:space="0" w:color="auto"/>
              </w:divBdr>
              <w:divsChild>
                <w:div w:id="370568406">
                  <w:marLeft w:val="0"/>
                  <w:marRight w:val="0"/>
                  <w:marTop w:val="0"/>
                  <w:marBottom w:val="0"/>
                  <w:divBdr>
                    <w:top w:val="none" w:sz="0" w:space="0" w:color="auto"/>
                    <w:left w:val="none" w:sz="0" w:space="0" w:color="auto"/>
                    <w:bottom w:val="none" w:sz="0" w:space="0" w:color="auto"/>
                    <w:right w:val="none" w:sz="0" w:space="0" w:color="auto"/>
                  </w:divBdr>
                  <w:divsChild>
                    <w:div w:id="2035300166">
                      <w:marLeft w:val="0"/>
                      <w:marRight w:val="0"/>
                      <w:marTop w:val="0"/>
                      <w:marBottom w:val="0"/>
                      <w:divBdr>
                        <w:top w:val="none" w:sz="0" w:space="0" w:color="auto"/>
                        <w:left w:val="none" w:sz="0" w:space="0" w:color="auto"/>
                        <w:bottom w:val="none" w:sz="0" w:space="0" w:color="auto"/>
                        <w:right w:val="none" w:sz="0" w:space="0" w:color="auto"/>
                      </w:divBdr>
                      <w:divsChild>
                        <w:div w:id="1513564172">
                          <w:marLeft w:val="0"/>
                          <w:marRight w:val="0"/>
                          <w:marTop w:val="0"/>
                          <w:marBottom w:val="0"/>
                          <w:divBdr>
                            <w:top w:val="none" w:sz="0" w:space="0" w:color="auto"/>
                            <w:left w:val="none" w:sz="0" w:space="0" w:color="auto"/>
                            <w:bottom w:val="none" w:sz="0" w:space="0" w:color="auto"/>
                            <w:right w:val="none" w:sz="0" w:space="0" w:color="auto"/>
                          </w:divBdr>
                          <w:divsChild>
                            <w:div w:id="1900551195">
                              <w:marLeft w:val="0"/>
                              <w:marRight w:val="0"/>
                              <w:marTop w:val="0"/>
                              <w:marBottom w:val="0"/>
                              <w:divBdr>
                                <w:top w:val="none" w:sz="0" w:space="0" w:color="auto"/>
                                <w:left w:val="none" w:sz="0" w:space="0" w:color="auto"/>
                                <w:bottom w:val="none" w:sz="0" w:space="0" w:color="auto"/>
                                <w:right w:val="none" w:sz="0" w:space="0" w:color="auto"/>
                              </w:divBdr>
                              <w:divsChild>
                                <w:div w:id="6688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6428">
      <w:bodyDiv w:val="1"/>
      <w:marLeft w:val="0"/>
      <w:marRight w:val="0"/>
      <w:marTop w:val="0"/>
      <w:marBottom w:val="0"/>
      <w:divBdr>
        <w:top w:val="none" w:sz="0" w:space="0" w:color="auto"/>
        <w:left w:val="none" w:sz="0" w:space="0" w:color="auto"/>
        <w:bottom w:val="none" w:sz="0" w:space="0" w:color="auto"/>
        <w:right w:val="none" w:sz="0" w:space="0" w:color="auto"/>
      </w:divBdr>
    </w:div>
    <w:div w:id="340205453">
      <w:bodyDiv w:val="1"/>
      <w:marLeft w:val="0"/>
      <w:marRight w:val="0"/>
      <w:marTop w:val="0"/>
      <w:marBottom w:val="0"/>
      <w:divBdr>
        <w:top w:val="none" w:sz="0" w:space="0" w:color="auto"/>
        <w:left w:val="none" w:sz="0" w:space="0" w:color="auto"/>
        <w:bottom w:val="none" w:sz="0" w:space="0" w:color="auto"/>
        <w:right w:val="none" w:sz="0" w:space="0" w:color="auto"/>
      </w:divBdr>
    </w:div>
    <w:div w:id="342317744">
      <w:bodyDiv w:val="1"/>
      <w:marLeft w:val="0"/>
      <w:marRight w:val="0"/>
      <w:marTop w:val="0"/>
      <w:marBottom w:val="0"/>
      <w:divBdr>
        <w:top w:val="none" w:sz="0" w:space="0" w:color="auto"/>
        <w:left w:val="none" w:sz="0" w:space="0" w:color="auto"/>
        <w:bottom w:val="none" w:sz="0" w:space="0" w:color="auto"/>
        <w:right w:val="none" w:sz="0" w:space="0" w:color="auto"/>
      </w:divBdr>
    </w:div>
    <w:div w:id="348604694">
      <w:bodyDiv w:val="1"/>
      <w:marLeft w:val="0"/>
      <w:marRight w:val="0"/>
      <w:marTop w:val="0"/>
      <w:marBottom w:val="0"/>
      <w:divBdr>
        <w:top w:val="none" w:sz="0" w:space="0" w:color="auto"/>
        <w:left w:val="none" w:sz="0" w:space="0" w:color="auto"/>
        <w:bottom w:val="none" w:sz="0" w:space="0" w:color="auto"/>
        <w:right w:val="none" w:sz="0" w:space="0" w:color="auto"/>
      </w:divBdr>
    </w:div>
    <w:div w:id="722366083">
      <w:bodyDiv w:val="1"/>
      <w:marLeft w:val="0"/>
      <w:marRight w:val="0"/>
      <w:marTop w:val="0"/>
      <w:marBottom w:val="0"/>
      <w:divBdr>
        <w:top w:val="none" w:sz="0" w:space="0" w:color="auto"/>
        <w:left w:val="none" w:sz="0" w:space="0" w:color="auto"/>
        <w:bottom w:val="none" w:sz="0" w:space="0" w:color="auto"/>
        <w:right w:val="none" w:sz="0" w:space="0" w:color="auto"/>
      </w:divBdr>
    </w:div>
    <w:div w:id="862208210">
      <w:bodyDiv w:val="1"/>
      <w:marLeft w:val="0"/>
      <w:marRight w:val="0"/>
      <w:marTop w:val="0"/>
      <w:marBottom w:val="0"/>
      <w:divBdr>
        <w:top w:val="none" w:sz="0" w:space="0" w:color="auto"/>
        <w:left w:val="none" w:sz="0" w:space="0" w:color="auto"/>
        <w:bottom w:val="none" w:sz="0" w:space="0" w:color="auto"/>
        <w:right w:val="none" w:sz="0" w:space="0" w:color="auto"/>
      </w:divBdr>
    </w:div>
    <w:div w:id="902980986">
      <w:bodyDiv w:val="1"/>
      <w:marLeft w:val="0"/>
      <w:marRight w:val="0"/>
      <w:marTop w:val="0"/>
      <w:marBottom w:val="0"/>
      <w:divBdr>
        <w:top w:val="none" w:sz="0" w:space="0" w:color="auto"/>
        <w:left w:val="none" w:sz="0" w:space="0" w:color="auto"/>
        <w:bottom w:val="none" w:sz="0" w:space="0" w:color="auto"/>
        <w:right w:val="none" w:sz="0" w:space="0" w:color="auto"/>
      </w:divBdr>
    </w:div>
    <w:div w:id="938829228">
      <w:bodyDiv w:val="1"/>
      <w:marLeft w:val="0"/>
      <w:marRight w:val="0"/>
      <w:marTop w:val="0"/>
      <w:marBottom w:val="0"/>
      <w:divBdr>
        <w:top w:val="none" w:sz="0" w:space="0" w:color="auto"/>
        <w:left w:val="none" w:sz="0" w:space="0" w:color="auto"/>
        <w:bottom w:val="none" w:sz="0" w:space="0" w:color="auto"/>
        <w:right w:val="none" w:sz="0" w:space="0" w:color="auto"/>
      </w:divBdr>
    </w:div>
    <w:div w:id="978151339">
      <w:bodyDiv w:val="1"/>
      <w:marLeft w:val="0"/>
      <w:marRight w:val="0"/>
      <w:marTop w:val="0"/>
      <w:marBottom w:val="0"/>
      <w:divBdr>
        <w:top w:val="none" w:sz="0" w:space="0" w:color="auto"/>
        <w:left w:val="none" w:sz="0" w:space="0" w:color="auto"/>
        <w:bottom w:val="none" w:sz="0" w:space="0" w:color="auto"/>
        <w:right w:val="none" w:sz="0" w:space="0" w:color="auto"/>
      </w:divBdr>
      <w:divsChild>
        <w:div w:id="961420281">
          <w:marLeft w:val="0"/>
          <w:marRight w:val="0"/>
          <w:marTop w:val="0"/>
          <w:marBottom w:val="0"/>
          <w:divBdr>
            <w:top w:val="none" w:sz="0" w:space="0" w:color="auto"/>
            <w:left w:val="none" w:sz="0" w:space="0" w:color="auto"/>
            <w:bottom w:val="none" w:sz="0" w:space="0" w:color="auto"/>
            <w:right w:val="none" w:sz="0" w:space="0" w:color="auto"/>
          </w:divBdr>
          <w:divsChild>
            <w:div w:id="1386024942">
              <w:marLeft w:val="0"/>
              <w:marRight w:val="0"/>
              <w:marTop w:val="0"/>
              <w:marBottom w:val="0"/>
              <w:divBdr>
                <w:top w:val="none" w:sz="0" w:space="0" w:color="auto"/>
                <w:left w:val="none" w:sz="0" w:space="0" w:color="auto"/>
                <w:bottom w:val="none" w:sz="0" w:space="0" w:color="auto"/>
                <w:right w:val="none" w:sz="0" w:space="0" w:color="auto"/>
              </w:divBdr>
              <w:divsChild>
                <w:div w:id="886183096">
                  <w:marLeft w:val="0"/>
                  <w:marRight w:val="0"/>
                  <w:marTop w:val="0"/>
                  <w:marBottom w:val="0"/>
                  <w:divBdr>
                    <w:top w:val="none" w:sz="0" w:space="0" w:color="auto"/>
                    <w:left w:val="none" w:sz="0" w:space="0" w:color="auto"/>
                    <w:bottom w:val="none" w:sz="0" w:space="0" w:color="auto"/>
                    <w:right w:val="none" w:sz="0" w:space="0" w:color="auto"/>
                  </w:divBdr>
                  <w:divsChild>
                    <w:div w:id="79377750">
                      <w:marLeft w:val="0"/>
                      <w:marRight w:val="0"/>
                      <w:marTop w:val="0"/>
                      <w:marBottom w:val="0"/>
                      <w:divBdr>
                        <w:top w:val="none" w:sz="0" w:space="0" w:color="auto"/>
                        <w:left w:val="none" w:sz="0" w:space="0" w:color="auto"/>
                        <w:bottom w:val="none" w:sz="0" w:space="0" w:color="auto"/>
                        <w:right w:val="none" w:sz="0" w:space="0" w:color="auto"/>
                      </w:divBdr>
                      <w:divsChild>
                        <w:div w:id="1278873621">
                          <w:marLeft w:val="0"/>
                          <w:marRight w:val="0"/>
                          <w:marTop w:val="0"/>
                          <w:marBottom w:val="0"/>
                          <w:divBdr>
                            <w:top w:val="none" w:sz="0" w:space="0" w:color="auto"/>
                            <w:left w:val="none" w:sz="0" w:space="0" w:color="auto"/>
                            <w:bottom w:val="none" w:sz="0" w:space="0" w:color="auto"/>
                            <w:right w:val="none" w:sz="0" w:space="0" w:color="auto"/>
                          </w:divBdr>
                          <w:divsChild>
                            <w:div w:id="1669017118">
                              <w:marLeft w:val="0"/>
                              <w:marRight w:val="0"/>
                              <w:marTop w:val="0"/>
                              <w:marBottom w:val="0"/>
                              <w:divBdr>
                                <w:top w:val="none" w:sz="0" w:space="0" w:color="auto"/>
                                <w:left w:val="none" w:sz="0" w:space="0" w:color="auto"/>
                                <w:bottom w:val="none" w:sz="0" w:space="0" w:color="auto"/>
                                <w:right w:val="none" w:sz="0" w:space="0" w:color="auto"/>
                              </w:divBdr>
                              <w:divsChild>
                                <w:div w:id="18801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98216">
      <w:bodyDiv w:val="1"/>
      <w:marLeft w:val="0"/>
      <w:marRight w:val="0"/>
      <w:marTop w:val="0"/>
      <w:marBottom w:val="0"/>
      <w:divBdr>
        <w:top w:val="none" w:sz="0" w:space="0" w:color="auto"/>
        <w:left w:val="none" w:sz="0" w:space="0" w:color="auto"/>
        <w:bottom w:val="none" w:sz="0" w:space="0" w:color="auto"/>
        <w:right w:val="none" w:sz="0" w:space="0" w:color="auto"/>
      </w:divBdr>
    </w:div>
    <w:div w:id="1071587118">
      <w:bodyDiv w:val="1"/>
      <w:marLeft w:val="0"/>
      <w:marRight w:val="0"/>
      <w:marTop w:val="0"/>
      <w:marBottom w:val="0"/>
      <w:divBdr>
        <w:top w:val="none" w:sz="0" w:space="0" w:color="auto"/>
        <w:left w:val="none" w:sz="0" w:space="0" w:color="auto"/>
        <w:bottom w:val="none" w:sz="0" w:space="0" w:color="auto"/>
        <w:right w:val="none" w:sz="0" w:space="0" w:color="auto"/>
      </w:divBdr>
    </w:div>
    <w:div w:id="1147547719">
      <w:bodyDiv w:val="1"/>
      <w:marLeft w:val="0"/>
      <w:marRight w:val="0"/>
      <w:marTop w:val="0"/>
      <w:marBottom w:val="0"/>
      <w:divBdr>
        <w:top w:val="none" w:sz="0" w:space="0" w:color="auto"/>
        <w:left w:val="none" w:sz="0" w:space="0" w:color="auto"/>
        <w:bottom w:val="none" w:sz="0" w:space="0" w:color="auto"/>
        <w:right w:val="none" w:sz="0" w:space="0" w:color="auto"/>
      </w:divBdr>
    </w:div>
    <w:div w:id="1158031936">
      <w:bodyDiv w:val="1"/>
      <w:marLeft w:val="0"/>
      <w:marRight w:val="0"/>
      <w:marTop w:val="0"/>
      <w:marBottom w:val="0"/>
      <w:divBdr>
        <w:top w:val="none" w:sz="0" w:space="0" w:color="auto"/>
        <w:left w:val="none" w:sz="0" w:space="0" w:color="auto"/>
        <w:bottom w:val="none" w:sz="0" w:space="0" w:color="auto"/>
        <w:right w:val="none" w:sz="0" w:space="0" w:color="auto"/>
      </w:divBdr>
    </w:div>
    <w:div w:id="1181820259">
      <w:bodyDiv w:val="1"/>
      <w:marLeft w:val="0"/>
      <w:marRight w:val="0"/>
      <w:marTop w:val="0"/>
      <w:marBottom w:val="0"/>
      <w:divBdr>
        <w:top w:val="none" w:sz="0" w:space="0" w:color="auto"/>
        <w:left w:val="none" w:sz="0" w:space="0" w:color="auto"/>
        <w:bottom w:val="none" w:sz="0" w:space="0" w:color="auto"/>
        <w:right w:val="none" w:sz="0" w:space="0" w:color="auto"/>
      </w:divBdr>
      <w:divsChild>
        <w:div w:id="1344668387">
          <w:marLeft w:val="0"/>
          <w:marRight w:val="0"/>
          <w:marTop w:val="0"/>
          <w:marBottom w:val="0"/>
          <w:divBdr>
            <w:top w:val="none" w:sz="0" w:space="0" w:color="auto"/>
            <w:left w:val="none" w:sz="0" w:space="0" w:color="auto"/>
            <w:bottom w:val="none" w:sz="0" w:space="0" w:color="auto"/>
            <w:right w:val="none" w:sz="0" w:space="0" w:color="auto"/>
          </w:divBdr>
          <w:divsChild>
            <w:div w:id="872572230">
              <w:marLeft w:val="0"/>
              <w:marRight w:val="0"/>
              <w:marTop w:val="0"/>
              <w:marBottom w:val="0"/>
              <w:divBdr>
                <w:top w:val="none" w:sz="0" w:space="0" w:color="auto"/>
                <w:left w:val="none" w:sz="0" w:space="0" w:color="auto"/>
                <w:bottom w:val="none" w:sz="0" w:space="0" w:color="auto"/>
                <w:right w:val="none" w:sz="0" w:space="0" w:color="auto"/>
              </w:divBdr>
              <w:divsChild>
                <w:div w:id="306711798">
                  <w:marLeft w:val="0"/>
                  <w:marRight w:val="0"/>
                  <w:marTop w:val="0"/>
                  <w:marBottom w:val="0"/>
                  <w:divBdr>
                    <w:top w:val="none" w:sz="0" w:space="0" w:color="auto"/>
                    <w:left w:val="none" w:sz="0" w:space="0" w:color="auto"/>
                    <w:bottom w:val="none" w:sz="0" w:space="0" w:color="auto"/>
                    <w:right w:val="none" w:sz="0" w:space="0" w:color="auto"/>
                  </w:divBdr>
                  <w:divsChild>
                    <w:div w:id="128285652">
                      <w:marLeft w:val="0"/>
                      <w:marRight w:val="0"/>
                      <w:marTop w:val="0"/>
                      <w:marBottom w:val="0"/>
                      <w:divBdr>
                        <w:top w:val="none" w:sz="0" w:space="0" w:color="auto"/>
                        <w:left w:val="none" w:sz="0" w:space="0" w:color="auto"/>
                        <w:bottom w:val="none" w:sz="0" w:space="0" w:color="auto"/>
                        <w:right w:val="none" w:sz="0" w:space="0" w:color="auto"/>
                      </w:divBdr>
                      <w:divsChild>
                        <w:div w:id="1426533152">
                          <w:marLeft w:val="0"/>
                          <w:marRight w:val="0"/>
                          <w:marTop w:val="0"/>
                          <w:marBottom w:val="0"/>
                          <w:divBdr>
                            <w:top w:val="none" w:sz="0" w:space="0" w:color="auto"/>
                            <w:left w:val="none" w:sz="0" w:space="0" w:color="auto"/>
                            <w:bottom w:val="none" w:sz="0" w:space="0" w:color="auto"/>
                            <w:right w:val="none" w:sz="0" w:space="0" w:color="auto"/>
                          </w:divBdr>
                          <w:divsChild>
                            <w:div w:id="1261373476">
                              <w:marLeft w:val="0"/>
                              <w:marRight w:val="0"/>
                              <w:marTop w:val="0"/>
                              <w:marBottom w:val="0"/>
                              <w:divBdr>
                                <w:top w:val="none" w:sz="0" w:space="0" w:color="auto"/>
                                <w:left w:val="none" w:sz="0" w:space="0" w:color="auto"/>
                                <w:bottom w:val="none" w:sz="0" w:space="0" w:color="auto"/>
                                <w:right w:val="none" w:sz="0" w:space="0" w:color="auto"/>
                              </w:divBdr>
                              <w:divsChild>
                                <w:div w:id="12335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20562">
      <w:bodyDiv w:val="1"/>
      <w:marLeft w:val="0"/>
      <w:marRight w:val="0"/>
      <w:marTop w:val="0"/>
      <w:marBottom w:val="0"/>
      <w:divBdr>
        <w:top w:val="none" w:sz="0" w:space="0" w:color="auto"/>
        <w:left w:val="none" w:sz="0" w:space="0" w:color="auto"/>
        <w:bottom w:val="none" w:sz="0" w:space="0" w:color="auto"/>
        <w:right w:val="none" w:sz="0" w:space="0" w:color="auto"/>
      </w:divBdr>
    </w:div>
    <w:div w:id="1303925281">
      <w:bodyDiv w:val="1"/>
      <w:marLeft w:val="0"/>
      <w:marRight w:val="0"/>
      <w:marTop w:val="0"/>
      <w:marBottom w:val="0"/>
      <w:divBdr>
        <w:top w:val="none" w:sz="0" w:space="0" w:color="auto"/>
        <w:left w:val="none" w:sz="0" w:space="0" w:color="auto"/>
        <w:bottom w:val="none" w:sz="0" w:space="0" w:color="auto"/>
        <w:right w:val="none" w:sz="0" w:space="0" w:color="auto"/>
      </w:divBdr>
    </w:div>
    <w:div w:id="1398043866">
      <w:bodyDiv w:val="1"/>
      <w:marLeft w:val="0"/>
      <w:marRight w:val="0"/>
      <w:marTop w:val="0"/>
      <w:marBottom w:val="0"/>
      <w:divBdr>
        <w:top w:val="none" w:sz="0" w:space="0" w:color="auto"/>
        <w:left w:val="none" w:sz="0" w:space="0" w:color="auto"/>
        <w:bottom w:val="none" w:sz="0" w:space="0" w:color="auto"/>
        <w:right w:val="none" w:sz="0" w:space="0" w:color="auto"/>
      </w:divBdr>
    </w:div>
    <w:div w:id="1418091179">
      <w:bodyDiv w:val="1"/>
      <w:marLeft w:val="0"/>
      <w:marRight w:val="0"/>
      <w:marTop w:val="0"/>
      <w:marBottom w:val="0"/>
      <w:divBdr>
        <w:top w:val="none" w:sz="0" w:space="0" w:color="auto"/>
        <w:left w:val="none" w:sz="0" w:space="0" w:color="auto"/>
        <w:bottom w:val="none" w:sz="0" w:space="0" w:color="auto"/>
        <w:right w:val="none" w:sz="0" w:space="0" w:color="auto"/>
      </w:divBdr>
    </w:div>
    <w:div w:id="1442724276">
      <w:bodyDiv w:val="1"/>
      <w:marLeft w:val="0"/>
      <w:marRight w:val="0"/>
      <w:marTop w:val="0"/>
      <w:marBottom w:val="0"/>
      <w:divBdr>
        <w:top w:val="none" w:sz="0" w:space="0" w:color="auto"/>
        <w:left w:val="none" w:sz="0" w:space="0" w:color="auto"/>
        <w:bottom w:val="none" w:sz="0" w:space="0" w:color="auto"/>
        <w:right w:val="none" w:sz="0" w:space="0" w:color="auto"/>
      </w:divBdr>
    </w:div>
    <w:div w:id="1451514797">
      <w:bodyDiv w:val="1"/>
      <w:marLeft w:val="0"/>
      <w:marRight w:val="0"/>
      <w:marTop w:val="0"/>
      <w:marBottom w:val="0"/>
      <w:divBdr>
        <w:top w:val="none" w:sz="0" w:space="0" w:color="auto"/>
        <w:left w:val="none" w:sz="0" w:space="0" w:color="auto"/>
        <w:bottom w:val="none" w:sz="0" w:space="0" w:color="auto"/>
        <w:right w:val="none" w:sz="0" w:space="0" w:color="auto"/>
      </w:divBdr>
      <w:divsChild>
        <w:div w:id="1757171119">
          <w:marLeft w:val="0"/>
          <w:marRight w:val="0"/>
          <w:marTop w:val="0"/>
          <w:marBottom w:val="0"/>
          <w:divBdr>
            <w:top w:val="none" w:sz="0" w:space="0" w:color="auto"/>
            <w:left w:val="none" w:sz="0" w:space="0" w:color="auto"/>
            <w:bottom w:val="none" w:sz="0" w:space="0" w:color="auto"/>
            <w:right w:val="none" w:sz="0" w:space="0" w:color="auto"/>
          </w:divBdr>
          <w:divsChild>
            <w:div w:id="919287981">
              <w:marLeft w:val="0"/>
              <w:marRight w:val="0"/>
              <w:marTop w:val="0"/>
              <w:marBottom w:val="0"/>
              <w:divBdr>
                <w:top w:val="none" w:sz="0" w:space="0" w:color="auto"/>
                <w:left w:val="none" w:sz="0" w:space="0" w:color="auto"/>
                <w:bottom w:val="none" w:sz="0" w:space="0" w:color="auto"/>
                <w:right w:val="none" w:sz="0" w:space="0" w:color="auto"/>
              </w:divBdr>
              <w:divsChild>
                <w:div w:id="1547335056">
                  <w:marLeft w:val="0"/>
                  <w:marRight w:val="0"/>
                  <w:marTop w:val="0"/>
                  <w:marBottom w:val="0"/>
                  <w:divBdr>
                    <w:top w:val="none" w:sz="0" w:space="0" w:color="auto"/>
                    <w:left w:val="none" w:sz="0" w:space="0" w:color="auto"/>
                    <w:bottom w:val="none" w:sz="0" w:space="0" w:color="auto"/>
                    <w:right w:val="none" w:sz="0" w:space="0" w:color="auto"/>
                  </w:divBdr>
                  <w:divsChild>
                    <w:div w:id="1708143725">
                      <w:marLeft w:val="0"/>
                      <w:marRight w:val="0"/>
                      <w:marTop w:val="0"/>
                      <w:marBottom w:val="0"/>
                      <w:divBdr>
                        <w:top w:val="none" w:sz="0" w:space="0" w:color="auto"/>
                        <w:left w:val="none" w:sz="0" w:space="0" w:color="auto"/>
                        <w:bottom w:val="none" w:sz="0" w:space="0" w:color="auto"/>
                        <w:right w:val="none" w:sz="0" w:space="0" w:color="auto"/>
                      </w:divBdr>
                      <w:divsChild>
                        <w:div w:id="383791607">
                          <w:marLeft w:val="0"/>
                          <w:marRight w:val="0"/>
                          <w:marTop w:val="0"/>
                          <w:marBottom w:val="0"/>
                          <w:divBdr>
                            <w:top w:val="none" w:sz="0" w:space="0" w:color="auto"/>
                            <w:left w:val="none" w:sz="0" w:space="0" w:color="auto"/>
                            <w:bottom w:val="none" w:sz="0" w:space="0" w:color="auto"/>
                            <w:right w:val="none" w:sz="0" w:space="0" w:color="auto"/>
                          </w:divBdr>
                          <w:divsChild>
                            <w:div w:id="1635865827">
                              <w:marLeft w:val="0"/>
                              <w:marRight w:val="0"/>
                              <w:marTop w:val="0"/>
                              <w:marBottom w:val="0"/>
                              <w:divBdr>
                                <w:top w:val="none" w:sz="0" w:space="0" w:color="auto"/>
                                <w:left w:val="none" w:sz="0" w:space="0" w:color="auto"/>
                                <w:bottom w:val="none" w:sz="0" w:space="0" w:color="auto"/>
                                <w:right w:val="none" w:sz="0" w:space="0" w:color="auto"/>
                              </w:divBdr>
                              <w:divsChild>
                                <w:div w:id="21461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704429">
      <w:bodyDiv w:val="1"/>
      <w:marLeft w:val="0"/>
      <w:marRight w:val="0"/>
      <w:marTop w:val="0"/>
      <w:marBottom w:val="0"/>
      <w:divBdr>
        <w:top w:val="none" w:sz="0" w:space="0" w:color="auto"/>
        <w:left w:val="none" w:sz="0" w:space="0" w:color="auto"/>
        <w:bottom w:val="none" w:sz="0" w:space="0" w:color="auto"/>
        <w:right w:val="none" w:sz="0" w:space="0" w:color="auto"/>
      </w:divBdr>
    </w:div>
    <w:div w:id="1575703833">
      <w:bodyDiv w:val="1"/>
      <w:marLeft w:val="0"/>
      <w:marRight w:val="0"/>
      <w:marTop w:val="0"/>
      <w:marBottom w:val="0"/>
      <w:divBdr>
        <w:top w:val="none" w:sz="0" w:space="0" w:color="auto"/>
        <w:left w:val="none" w:sz="0" w:space="0" w:color="auto"/>
        <w:bottom w:val="none" w:sz="0" w:space="0" w:color="auto"/>
        <w:right w:val="none" w:sz="0" w:space="0" w:color="auto"/>
      </w:divBdr>
    </w:div>
    <w:div w:id="1583103588">
      <w:bodyDiv w:val="1"/>
      <w:marLeft w:val="0"/>
      <w:marRight w:val="0"/>
      <w:marTop w:val="0"/>
      <w:marBottom w:val="0"/>
      <w:divBdr>
        <w:top w:val="none" w:sz="0" w:space="0" w:color="auto"/>
        <w:left w:val="none" w:sz="0" w:space="0" w:color="auto"/>
        <w:bottom w:val="none" w:sz="0" w:space="0" w:color="auto"/>
        <w:right w:val="none" w:sz="0" w:space="0" w:color="auto"/>
      </w:divBdr>
      <w:divsChild>
        <w:div w:id="1649169293">
          <w:marLeft w:val="0"/>
          <w:marRight w:val="0"/>
          <w:marTop w:val="0"/>
          <w:marBottom w:val="0"/>
          <w:divBdr>
            <w:top w:val="none" w:sz="0" w:space="0" w:color="auto"/>
            <w:left w:val="none" w:sz="0" w:space="0" w:color="auto"/>
            <w:bottom w:val="none" w:sz="0" w:space="0" w:color="auto"/>
            <w:right w:val="none" w:sz="0" w:space="0" w:color="auto"/>
          </w:divBdr>
          <w:divsChild>
            <w:div w:id="315032856">
              <w:marLeft w:val="0"/>
              <w:marRight w:val="0"/>
              <w:marTop w:val="0"/>
              <w:marBottom w:val="0"/>
              <w:divBdr>
                <w:top w:val="none" w:sz="0" w:space="0" w:color="auto"/>
                <w:left w:val="none" w:sz="0" w:space="0" w:color="auto"/>
                <w:bottom w:val="none" w:sz="0" w:space="0" w:color="auto"/>
                <w:right w:val="none" w:sz="0" w:space="0" w:color="auto"/>
              </w:divBdr>
              <w:divsChild>
                <w:div w:id="559638375">
                  <w:marLeft w:val="0"/>
                  <w:marRight w:val="0"/>
                  <w:marTop w:val="0"/>
                  <w:marBottom w:val="0"/>
                  <w:divBdr>
                    <w:top w:val="none" w:sz="0" w:space="0" w:color="auto"/>
                    <w:left w:val="none" w:sz="0" w:space="0" w:color="auto"/>
                    <w:bottom w:val="none" w:sz="0" w:space="0" w:color="auto"/>
                    <w:right w:val="none" w:sz="0" w:space="0" w:color="auto"/>
                  </w:divBdr>
                  <w:divsChild>
                    <w:div w:id="1958632702">
                      <w:marLeft w:val="0"/>
                      <w:marRight w:val="0"/>
                      <w:marTop w:val="0"/>
                      <w:marBottom w:val="0"/>
                      <w:divBdr>
                        <w:top w:val="none" w:sz="0" w:space="0" w:color="auto"/>
                        <w:left w:val="none" w:sz="0" w:space="0" w:color="auto"/>
                        <w:bottom w:val="none" w:sz="0" w:space="0" w:color="auto"/>
                        <w:right w:val="none" w:sz="0" w:space="0" w:color="auto"/>
                      </w:divBdr>
                      <w:divsChild>
                        <w:div w:id="2127116675">
                          <w:marLeft w:val="0"/>
                          <w:marRight w:val="0"/>
                          <w:marTop w:val="0"/>
                          <w:marBottom w:val="0"/>
                          <w:divBdr>
                            <w:top w:val="none" w:sz="0" w:space="0" w:color="auto"/>
                            <w:left w:val="none" w:sz="0" w:space="0" w:color="auto"/>
                            <w:bottom w:val="none" w:sz="0" w:space="0" w:color="auto"/>
                            <w:right w:val="none" w:sz="0" w:space="0" w:color="auto"/>
                          </w:divBdr>
                          <w:divsChild>
                            <w:div w:id="647855156">
                              <w:marLeft w:val="0"/>
                              <w:marRight w:val="0"/>
                              <w:marTop w:val="0"/>
                              <w:marBottom w:val="0"/>
                              <w:divBdr>
                                <w:top w:val="none" w:sz="0" w:space="0" w:color="auto"/>
                                <w:left w:val="none" w:sz="0" w:space="0" w:color="auto"/>
                                <w:bottom w:val="none" w:sz="0" w:space="0" w:color="auto"/>
                                <w:right w:val="none" w:sz="0" w:space="0" w:color="auto"/>
                              </w:divBdr>
                              <w:divsChild>
                                <w:div w:id="8896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883974">
      <w:bodyDiv w:val="1"/>
      <w:marLeft w:val="0"/>
      <w:marRight w:val="0"/>
      <w:marTop w:val="0"/>
      <w:marBottom w:val="0"/>
      <w:divBdr>
        <w:top w:val="none" w:sz="0" w:space="0" w:color="auto"/>
        <w:left w:val="none" w:sz="0" w:space="0" w:color="auto"/>
        <w:bottom w:val="none" w:sz="0" w:space="0" w:color="auto"/>
        <w:right w:val="none" w:sz="0" w:space="0" w:color="auto"/>
      </w:divBdr>
    </w:div>
    <w:div w:id="1947301054">
      <w:bodyDiv w:val="1"/>
      <w:marLeft w:val="0"/>
      <w:marRight w:val="0"/>
      <w:marTop w:val="0"/>
      <w:marBottom w:val="0"/>
      <w:divBdr>
        <w:top w:val="none" w:sz="0" w:space="0" w:color="auto"/>
        <w:left w:val="none" w:sz="0" w:space="0" w:color="auto"/>
        <w:bottom w:val="none" w:sz="0" w:space="0" w:color="auto"/>
        <w:right w:val="none" w:sz="0" w:space="0" w:color="auto"/>
      </w:divBdr>
    </w:div>
    <w:div w:id="1977904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aging-inspire-validator.eu-west-1.elasticbeanstalk.com/etf-webapp"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ithub.com/inspire-eu-validation/metadata/tree/2.0" TargetMode="External"/><Relationship Id="rId2" Type="http://schemas.openxmlformats.org/officeDocument/2006/relationships/numbering" Target="numbering.xml"/><Relationship Id="rId16" Type="http://schemas.openxmlformats.org/officeDocument/2006/relationships/hyperlink" Target="http://inspire.ec.europa.eu/id/ats/metadata/1.3/iso-19115-19119"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theme" Target="theme/theme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inspire.ec.europa.eu/metadata-codelist/PriorityDatas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tin\Desktop\SENSE%202%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E51BDB8-F8F8-4394-8FCB-80927CC1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2 report.dot</Template>
  <TotalTime>34</TotalTime>
  <Pages>18</Pages>
  <Words>3975</Words>
  <Characters>23126</Characters>
  <Application>Microsoft Office Word</Application>
  <DocSecurity>0</DocSecurity>
  <Lines>680</Lines>
  <Paragraphs>351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How to use Reportnet for monitoring and reporting under the INSPIRE Directive (2007/2/EC)</vt:lpstr>
      <vt:lpstr>How to use Reportnet for monitoring and reporting under the INSPIRE Directive (2007/2/EC)</vt:lpstr>
    </vt:vector>
  </TitlesOfParts>
  <Company>European Environment Agency</Company>
  <LinksUpToDate>false</LinksUpToDate>
  <CharactersWithSpaces>26750</CharactersWithSpaces>
  <SharedDoc>false</SharedDoc>
  <HyperlinkBase>http://inspire.jrc.ec.europa.eu/index.cfm/pageid/182</HyperlinkBase>
  <HLinks>
    <vt:vector size="318" baseType="variant">
      <vt:variant>
        <vt:i4>5046279</vt:i4>
      </vt:variant>
      <vt:variant>
        <vt:i4>75</vt:i4>
      </vt:variant>
      <vt:variant>
        <vt:i4>0</vt:i4>
      </vt:variant>
      <vt:variant>
        <vt:i4>5</vt:i4>
      </vt:variant>
      <vt:variant>
        <vt:lpwstr>http://www.w3.org/RDF/Validator/</vt:lpwstr>
      </vt:variant>
      <vt:variant>
        <vt:lpwstr/>
      </vt:variant>
      <vt:variant>
        <vt:i4>5701703</vt:i4>
      </vt:variant>
      <vt:variant>
        <vt:i4>72</vt:i4>
      </vt:variant>
      <vt:variant>
        <vt:i4>0</vt:i4>
      </vt:variant>
      <vt:variant>
        <vt:i4>5</vt:i4>
      </vt:variant>
      <vt:variant>
        <vt:lpwstr>http://protege.stanford.edu/</vt:lpwstr>
      </vt:variant>
      <vt:variant>
        <vt:lpwstr/>
      </vt:variant>
      <vt:variant>
        <vt:i4>196630</vt:i4>
      </vt:variant>
      <vt:variant>
        <vt:i4>69</vt:i4>
      </vt:variant>
      <vt:variant>
        <vt:i4>0</vt:i4>
      </vt:variant>
      <vt:variant>
        <vt:i4>5</vt:i4>
      </vt:variant>
      <vt:variant>
        <vt:lpwstr>http://www.slideshare.net/iandavis/30-minute-guide-to-rdf-and-linked-data</vt:lpwstr>
      </vt:variant>
      <vt:variant>
        <vt:lpwstr/>
      </vt:variant>
      <vt:variant>
        <vt:i4>1507337</vt:i4>
      </vt:variant>
      <vt:variant>
        <vt:i4>66</vt:i4>
      </vt:variant>
      <vt:variant>
        <vt:i4>0</vt:i4>
      </vt:variant>
      <vt:variant>
        <vt:i4>5</vt:i4>
      </vt:variant>
      <vt:variant>
        <vt:lpwstr>http://www.w3.org/2004/Talks/SpanishTour-IH/Overview.html</vt:lpwstr>
      </vt:variant>
      <vt:variant>
        <vt:lpwstr/>
      </vt:variant>
      <vt:variant>
        <vt:i4>2228338</vt:i4>
      </vt:variant>
      <vt:variant>
        <vt:i4>63</vt:i4>
      </vt:variant>
      <vt:variant>
        <vt:i4>0</vt:i4>
      </vt:variant>
      <vt:variant>
        <vt:i4>5</vt:i4>
      </vt:variant>
      <vt:variant>
        <vt:lpwstr>http://infolab.stanford.edu/~melnik/rdf/db.html</vt:lpwstr>
      </vt:variant>
      <vt:variant>
        <vt:lpwstr/>
      </vt:variant>
      <vt:variant>
        <vt:i4>7471108</vt:i4>
      </vt:variant>
      <vt:variant>
        <vt:i4>60</vt:i4>
      </vt:variant>
      <vt:variant>
        <vt:i4>0</vt:i4>
      </vt:variant>
      <vt:variant>
        <vt:i4>5</vt:i4>
      </vt:variant>
      <vt:variant>
        <vt:lpwstr>http://creativecommons.org/licenses/by/2.5/dk/deed.en_GB</vt:lpwstr>
      </vt:variant>
      <vt:variant>
        <vt:lpwstr/>
      </vt:variant>
      <vt:variant>
        <vt:i4>1114163</vt:i4>
      </vt:variant>
      <vt:variant>
        <vt:i4>50</vt:i4>
      </vt:variant>
      <vt:variant>
        <vt:i4>0</vt:i4>
      </vt:variant>
      <vt:variant>
        <vt:i4>5</vt:i4>
      </vt:variant>
      <vt:variant>
        <vt:lpwstr/>
      </vt:variant>
      <vt:variant>
        <vt:lpwstr>_Toc284927709</vt:lpwstr>
      </vt:variant>
      <vt:variant>
        <vt:i4>1114163</vt:i4>
      </vt:variant>
      <vt:variant>
        <vt:i4>44</vt:i4>
      </vt:variant>
      <vt:variant>
        <vt:i4>0</vt:i4>
      </vt:variant>
      <vt:variant>
        <vt:i4>5</vt:i4>
      </vt:variant>
      <vt:variant>
        <vt:lpwstr/>
      </vt:variant>
      <vt:variant>
        <vt:lpwstr>_Toc284927709</vt:lpwstr>
      </vt:variant>
      <vt:variant>
        <vt:i4>1114163</vt:i4>
      </vt:variant>
      <vt:variant>
        <vt:i4>38</vt:i4>
      </vt:variant>
      <vt:variant>
        <vt:i4>0</vt:i4>
      </vt:variant>
      <vt:variant>
        <vt:i4>5</vt:i4>
      </vt:variant>
      <vt:variant>
        <vt:lpwstr/>
      </vt:variant>
      <vt:variant>
        <vt:lpwstr>_Toc284927708</vt:lpwstr>
      </vt:variant>
      <vt:variant>
        <vt:i4>1114163</vt:i4>
      </vt:variant>
      <vt:variant>
        <vt:i4>32</vt:i4>
      </vt:variant>
      <vt:variant>
        <vt:i4>0</vt:i4>
      </vt:variant>
      <vt:variant>
        <vt:i4>5</vt:i4>
      </vt:variant>
      <vt:variant>
        <vt:lpwstr/>
      </vt:variant>
      <vt:variant>
        <vt:lpwstr>_Toc284927707</vt:lpwstr>
      </vt:variant>
      <vt:variant>
        <vt:i4>1114163</vt:i4>
      </vt:variant>
      <vt:variant>
        <vt:i4>26</vt:i4>
      </vt:variant>
      <vt:variant>
        <vt:i4>0</vt:i4>
      </vt:variant>
      <vt:variant>
        <vt:i4>5</vt:i4>
      </vt:variant>
      <vt:variant>
        <vt:lpwstr/>
      </vt:variant>
      <vt:variant>
        <vt:lpwstr>_Toc284927706</vt:lpwstr>
      </vt:variant>
      <vt:variant>
        <vt:i4>1114163</vt:i4>
      </vt:variant>
      <vt:variant>
        <vt:i4>20</vt:i4>
      </vt:variant>
      <vt:variant>
        <vt:i4>0</vt:i4>
      </vt:variant>
      <vt:variant>
        <vt:i4>5</vt:i4>
      </vt:variant>
      <vt:variant>
        <vt:lpwstr/>
      </vt:variant>
      <vt:variant>
        <vt:lpwstr>_Toc284927705</vt:lpwstr>
      </vt:variant>
      <vt:variant>
        <vt:i4>1114163</vt:i4>
      </vt:variant>
      <vt:variant>
        <vt:i4>14</vt:i4>
      </vt:variant>
      <vt:variant>
        <vt:i4>0</vt:i4>
      </vt:variant>
      <vt:variant>
        <vt:i4>5</vt:i4>
      </vt:variant>
      <vt:variant>
        <vt:lpwstr/>
      </vt:variant>
      <vt:variant>
        <vt:lpwstr>_Toc284927704</vt:lpwstr>
      </vt:variant>
      <vt:variant>
        <vt:i4>1114163</vt:i4>
      </vt:variant>
      <vt:variant>
        <vt:i4>8</vt:i4>
      </vt:variant>
      <vt:variant>
        <vt:i4>0</vt:i4>
      </vt:variant>
      <vt:variant>
        <vt:i4>5</vt:i4>
      </vt:variant>
      <vt:variant>
        <vt:lpwstr/>
      </vt:variant>
      <vt:variant>
        <vt:lpwstr>_Toc284927703</vt:lpwstr>
      </vt:variant>
      <vt:variant>
        <vt:i4>1114163</vt:i4>
      </vt:variant>
      <vt:variant>
        <vt:i4>2</vt:i4>
      </vt:variant>
      <vt:variant>
        <vt:i4>0</vt:i4>
      </vt:variant>
      <vt:variant>
        <vt:i4>5</vt:i4>
      </vt:variant>
      <vt:variant>
        <vt:lpwstr/>
      </vt:variant>
      <vt:variant>
        <vt:lpwstr>_Toc284927702</vt:lpwstr>
      </vt:variant>
      <vt:variant>
        <vt:i4>4259912</vt:i4>
      </vt:variant>
      <vt:variant>
        <vt:i4>111</vt:i4>
      </vt:variant>
      <vt:variant>
        <vt:i4>0</vt:i4>
      </vt:variant>
      <vt:variant>
        <vt:i4>5</vt:i4>
      </vt:variant>
      <vt:variant>
        <vt:lpwstr>http://lov.okfn.org/dataset/lov/</vt:lpwstr>
      </vt:variant>
      <vt:variant>
        <vt:lpwstr/>
      </vt:variant>
      <vt:variant>
        <vt:i4>8126501</vt:i4>
      </vt:variant>
      <vt:variant>
        <vt:i4>108</vt:i4>
      </vt:variant>
      <vt:variant>
        <vt:i4>0</vt:i4>
      </vt:variant>
      <vt:variant>
        <vt:i4>5</vt:i4>
      </vt:variant>
      <vt:variant>
        <vt:lpwstr>http://www.eyeonearthsummit.org/special-initiatives</vt:lpwstr>
      </vt:variant>
      <vt:variant>
        <vt:lpwstr/>
      </vt:variant>
      <vt:variant>
        <vt:i4>7733288</vt:i4>
      </vt:variant>
      <vt:variant>
        <vt:i4>105</vt:i4>
      </vt:variant>
      <vt:variant>
        <vt:i4>0</vt:i4>
      </vt:variant>
      <vt:variant>
        <vt:i4>5</vt:i4>
      </vt:variant>
      <vt:variant>
        <vt:lpwstr>http://www.eea.europa.eu/cooperations/eco-informatics/about-ecoinformatics</vt:lpwstr>
      </vt:variant>
      <vt:variant>
        <vt:lpwstr/>
      </vt:variant>
      <vt:variant>
        <vt:i4>6094863</vt:i4>
      </vt:variant>
      <vt:variant>
        <vt:i4>102</vt:i4>
      </vt:variant>
      <vt:variant>
        <vt:i4>0</vt:i4>
      </vt:variant>
      <vt:variant>
        <vt:i4>5</vt:i4>
      </vt:variant>
      <vt:variant>
        <vt:lpwstr>http://aims.fao.org/website/AGROVOC-Thesaurus/sub</vt:lpwstr>
      </vt:variant>
      <vt:variant>
        <vt:lpwstr/>
      </vt:variant>
      <vt:variant>
        <vt:i4>7602273</vt:i4>
      </vt:variant>
      <vt:variant>
        <vt:i4>99</vt:i4>
      </vt:variant>
      <vt:variant>
        <vt:i4>0</vt:i4>
      </vt:variant>
      <vt:variant>
        <vt:i4>5</vt:i4>
      </vt:variant>
      <vt:variant>
        <vt:lpwstr>http://www.eionet.europa.eu/gemet/</vt:lpwstr>
      </vt:variant>
      <vt:variant>
        <vt:lpwstr/>
      </vt:variant>
      <vt:variant>
        <vt:i4>7471211</vt:i4>
      </vt:variant>
      <vt:variant>
        <vt:i4>96</vt:i4>
      </vt:variant>
      <vt:variant>
        <vt:i4>0</vt:i4>
      </vt:variant>
      <vt:variant>
        <vt:i4>5</vt:i4>
      </vt:variant>
      <vt:variant>
        <vt:lpwstr>http://www.w3.org/community/locadd/</vt:lpwstr>
      </vt:variant>
      <vt:variant>
        <vt:lpwstr/>
      </vt:variant>
      <vt:variant>
        <vt:i4>2031742</vt:i4>
      </vt:variant>
      <vt:variant>
        <vt:i4>93</vt:i4>
      </vt:variant>
      <vt:variant>
        <vt:i4>0</vt:i4>
      </vt:variant>
      <vt:variant>
        <vt:i4>5</vt:i4>
      </vt:variant>
      <vt:variant>
        <vt:lpwstr>http://joinup.ec.europa.eu/asset/core_location/description</vt:lpwstr>
      </vt:variant>
      <vt:variant>
        <vt:lpwstr/>
      </vt:variant>
      <vt:variant>
        <vt:i4>1769576</vt:i4>
      </vt:variant>
      <vt:variant>
        <vt:i4>90</vt:i4>
      </vt:variant>
      <vt:variant>
        <vt:i4>0</vt:i4>
      </vt:variant>
      <vt:variant>
        <vt:i4>5</vt:i4>
      </vt:variant>
      <vt:variant>
        <vt:lpwstr>http://joinup.ec.europa.eu/community/core_vocabularies/description</vt:lpwstr>
      </vt:variant>
      <vt:variant>
        <vt:lpwstr/>
      </vt:variant>
      <vt:variant>
        <vt:i4>852062</vt:i4>
      </vt:variant>
      <vt:variant>
        <vt:i4>87</vt:i4>
      </vt:variant>
      <vt:variant>
        <vt:i4>0</vt:i4>
      </vt:variant>
      <vt:variant>
        <vt:i4>5</vt:i4>
      </vt:variant>
      <vt:variant>
        <vt:lpwstr>http://ec.europa.eu/isa/</vt:lpwstr>
      </vt:variant>
      <vt:variant>
        <vt:lpwstr/>
      </vt:variant>
      <vt:variant>
        <vt:i4>2162809</vt:i4>
      </vt:variant>
      <vt:variant>
        <vt:i4>84</vt:i4>
      </vt:variant>
      <vt:variant>
        <vt:i4>0</vt:i4>
      </vt:variant>
      <vt:variant>
        <vt:i4>5</vt:i4>
      </vt:variant>
      <vt:variant>
        <vt:lpwstr>http://data.gov.au/</vt:lpwstr>
      </vt:variant>
      <vt:variant>
        <vt:lpwstr/>
      </vt:variant>
      <vt:variant>
        <vt:i4>7471202</vt:i4>
      </vt:variant>
      <vt:variant>
        <vt:i4>81</vt:i4>
      </vt:variant>
      <vt:variant>
        <vt:i4>0</vt:i4>
      </vt:variant>
      <vt:variant>
        <vt:i4>5</vt:i4>
      </vt:variant>
      <vt:variant>
        <vt:lpwstr>http://logd.tw.rpi.edu/</vt:lpwstr>
      </vt:variant>
      <vt:variant>
        <vt:lpwstr/>
      </vt:variant>
      <vt:variant>
        <vt:i4>3145829</vt:i4>
      </vt:variant>
      <vt:variant>
        <vt:i4>78</vt:i4>
      </vt:variant>
      <vt:variant>
        <vt:i4>0</vt:i4>
      </vt:variant>
      <vt:variant>
        <vt:i4>5</vt:i4>
      </vt:variant>
      <vt:variant>
        <vt:lpwstr>https://data.govloop.com/dataset/List-of-City-wide-Data-sites/agy9-zcn8</vt:lpwstr>
      </vt:variant>
      <vt:variant>
        <vt:lpwstr/>
      </vt:variant>
      <vt:variant>
        <vt:i4>5570625</vt:i4>
      </vt:variant>
      <vt:variant>
        <vt:i4>75</vt:i4>
      </vt:variant>
      <vt:variant>
        <vt:i4>0</vt:i4>
      </vt:variant>
      <vt:variant>
        <vt:i4>5</vt:i4>
      </vt:variant>
      <vt:variant>
        <vt:lpwstr>http://www.data.gov/</vt:lpwstr>
      </vt:variant>
      <vt:variant>
        <vt:lpwstr/>
      </vt:variant>
      <vt:variant>
        <vt:i4>720978</vt:i4>
      </vt:variant>
      <vt:variant>
        <vt:i4>72</vt:i4>
      </vt:variant>
      <vt:variant>
        <vt:i4>0</vt:i4>
      </vt:variant>
      <vt:variant>
        <vt:i4>5</vt:i4>
      </vt:variant>
      <vt:variant>
        <vt:lpwstr>http://futureeverything.org/2012/11/open-data-cities/</vt:lpwstr>
      </vt:variant>
      <vt:variant>
        <vt:lpwstr/>
      </vt:variant>
      <vt:variant>
        <vt:i4>917533</vt:i4>
      </vt:variant>
      <vt:variant>
        <vt:i4>69</vt:i4>
      </vt:variant>
      <vt:variant>
        <vt:i4>0</vt:i4>
      </vt:variant>
      <vt:variant>
        <vt:i4>5</vt:i4>
      </vt:variant>
      <vt:variant>
        <vt:lpwstr>http://www.dati.piemonte.it/rdf.html</vt:lpwstr>
      </vt:variant>
      <vt:variant>
        <vt:lpwstr/>
      </vt:variant>
      <vt:variant>
        <vt:i4>2097184</vt:i4>
      </vt:variant>
      <vt:variant>
        <vt:i4>66</vt:i4>
      </vt:variant>
      <vt:variant>
        <vt:i4>0</vt:i4>
      </vt:variant>
      <vt:variant>
        <vt:i4>5</vt:i4>
      </vt:variant>
      <vt:variant>
        <vt:lpwstr>http://www.dati.gov.it/</vt:lpwstr>
      </vt:variant>
      <vt:variant>
        <vt:lpwstr/>
      </vt:variant>
      <vt:variant>
        <vt:i4>5767189</vt:i4>
      </vt:variant>
      <vt:variant>
        <vt:i4>63</vt:i4>
      </vt:variant>
      <vt:variant>
        <vt:i4>0</vt:i4>
      </vt:variant>
      <vt:variant>
        <vt:i4>5</vt:i4>
      </vt:variant>
      <vt:variant>
        <vt:lpwstr>https://data.overheid.nl/</vt:lpwstr>
      </vt:variant>
      <vt:variant>
        <vt:lpwstr/>
      </vt:variant>
      <vt:variant>
        <vt:i4>7667764</vt:i4>
      </vt:variant>
      <vt:variant>
        <vt:i4>60</vt:i4>
      </vt:variant>
      <vt:variant>
        <vt:i4>0</vt:i4>
      </vt:variant>
      <vt:variant>
        <vt:i4>5</vt:i4>
      </vt:variant>
      <vt:variant>
        <vt:lpwstr>http://data.gov.uk/linked-data</vt:lpwstr>
      </vt:variant>
      <vt:variant>
        <vt:lpwstr/>
      </vt:variant>
      <vt:variant>
        <vt:i4>6684706</vt:i4>
      </vt:variant>
      <vt:variant>
        <vt:i4>57</vt:i4>
      </vt:variant>
      <vt:variant>
        <vt:i4>0</vt:i4>
      </vt:variant>
      <vt:variant>
        <vt:i4>5</vt:i4>
      </vt:variant>
      <vt:variant>
        <vt:lpwstr>http://semantic.eea.europa.eu/</vt:lpwstr>
      </vt:variant>
      <vt:variant>
        <vt:lpwstr/>
      </vt:variant>
      <vt:variant>
        <vt:i4>3145783</vt:i4>
      </vt:variant>
      <vt:variant>
        <vt:i4>54</vt:i4>
      </vt:variant>
      <vt:variant>
        <vt:i4>0</vt:i4>
      </vt:variant>
      <vt:variant>
        <vt:i4>5</vt:i4>
      </vt:variant>
      <vt:variant>
        <vt:lpwstr>http://open-data.europa.eu/</vt:lpwstr>
      </vt:variant>
      <vt:variant>
        <vt:lpwstr/>
      </vt:variant>
      <vt:variant>
        <vt:i4>7471105</vt:i4>
      </vt:variant>
      <vt:variant>
        <vt:i4>51</vt:i4>
      </vt:variant>
      <vt:variant>
        <vt:i4>0</vt:i4>
      </vt:variant>
      <vt:variant>
        <vt:i4>5</vt:i4>
      </vt:variant>
      <vt:variant>
        <vt:lpwstr>http://link.springer.com/chapter/10.1007%2F978-3-642-30284-8_59?LI=true</vt:lpwstr>
      </vt:variant>
      <vt:variant>
        <vt:lpwstr/>
      </vt:variant>
      <vt:variant>
        <vt:i4>7864369</vt:i4>
      </vt:variant>
      <vt:variant>
        <vt:i4>48</vt:i4>
      </vt:variant>
      <vt:variant>
        <vt:i4>0</vt:i4>
      </vt:variant>
      <vt:variant>
        <vt:i4>5</vt:i4>
      </vt:variant>
      <vt:variant>
        <vt:lpwstr>http://lod2.eu/</vt:lpwstr>
      </vt:variant>
      <vt:variant>
        <vt:lpwstr/>
      </vt:variant>
      <vt:variant>
        <vt:i4>3604541</vt:i4>
      </vt:variant>
      <vt:variant>
        <vt:i4>45</vt:i4>
      </vt:variant>
      <vt:variant>
        <vt:i4>0</vt:i4>
      </vt:variant>
      <vt:variant>
        <vt:i4>5</vt:i4>
      </vt:variant>
      <vt:variant>
        <vt:lpwstr>http://www.w3.org/2011/gld/wiki/Linked_Data_Cookbook</vt:lpwstr>
      </vt:variant>
      <vt:variant>
        <vt:lpwstr/>
      </vt:variant>
      <vt:variant>
        <vt:i4>2490421</vt:i4>
      </vt:variant>
      <vt:variant>
        <vt:i4>42</vt:i4>
      </vt:variant>
      <vt:variant>
        <vt:i4>0</vt:i4>
      </vt:variant>
      <vt:variant>
        <vt:i4>5</vt:i4>
      </vt:variant>
      <vt:variant>
        <vt:lpwstr>http://wifo5-03.informatik.uni-mannheim.de/lodcloud/state/</vt:lpwstr>
      </vt:variant>
      <vt:variant>
        <vt:lpwstr/>
      </vt:variant>
      <vt:variant>
        <vt:i4>4980745</vt:i4>
      </vt:variant>
      <vt:variant>
        <vt:i4>39</vt:i4>
      </vt:variant>
      <vt:variant>
        <vt:i4>0</vt:i4>
      </vt:variant>
      <vt:variant>
        <vt:i4>5</vt:i4>
      </vt:variant>
      <vt:variant>
        <vt:lpwstr>https://joinup.ec.europa.eu/community/semic/document/10-rules-persistent-uris</vt:lpwstr>
      </vt:variant>
      <vt:variant>
        <vt:lpwstr/>
      </vt:variant>
      <vt:variant>
        <vt:i4>1376336</vt:i4>
      </vt:variant>
      <vt:variant>
        <vt:i4>36</vt:i4>
      </vt:variant>
      <vt:variant>
        <vt:i4>0</vt:i4>
      </vt:variant>
      <vt:variant>
        <vt:i4>5</vt:i4>
      </vt:variant>
      <vt:variant>
        <vt:lpwstr>http://en.wikipedia.org/wiki/Internet</vt:lpwstr>
      </vt:variant>
      <vt:variant>
        <vt:lpwstr/>
      </vt:variant>
      <vt:variant>
        <vt:i4>1376363</vt:i4>
      </vt:variant>
      <vt:variant>
        <vt:i4>33</vt:i4>
      </vt:variant>
      <vt:variant>
        <vt:i4>0</vt:i4>
      </vt:variant>
      <vt:variant>
        <vt:i4>5</vt:i4>
      </vt:variant>
      <vt:variant>
        <vt:lpwstr>http://en.wikipedia.org/wiki/Character_string</vt:lpwstr>
      </vt:variant>
      <vt:variant>
        <vt:lpwstr/>
      </vt:variant>
      <vt:variant>
        <vt:i4>3276851</vt:i4>
      </vt:variant>
      <vt:variant>
        <vt:i4>30</vt:i4>
      </vt:variant>
      <vt:variant>
        <vt:i4>0</vt:i4>
      </vt:variant>
      <vt:variant>
        <vt:i4>5</vt:i4>
      </vt:variant>
      <vt:variant>
        <vt:lpwstr>http://daviz.eionet.europa.eu/visualisations/sense-2-assessment-trends</vt:lpwstr>
      </vt:variant>
      <vt:variant>
        <vt:lpwstr/>
      </vt:variant>
      <vt:variant>
        <vt:i4>6881326</vt:i4>
      </vt:variant>
      <vt:variant>
        <vt:i4>27</vt:i4>
      </vt:variant>
      <vt:variant>
        <vt:i4>0</vt:i4>
      </vt:variant>
      <vt:variant>
        <vt:i4>5</vt:i4>
      </vt:variant>
      <vt:variant>
        <vt:lpwstr>http://daviz.eionet.europa.eu/visualisations/sense-2-number-of-assessments-per-country-1</vt:lpwstr>
      </vt:variant>
      <vt:variant>
        <vt:lpwstr>tab-googlechart-googledashboard</vt:lpwstr>
      </vt:variant>
      <vt:variant>
        <vt:i4>7536676</vt:i4>
      </vt:variant>
      <vt:variant>
        <vt:i4>24</vt:i4>
      </vt:variant>
      <vt:variant>
        <vt:i4>0</vt:i4>
      </vt:variant>
      <vt:variant>
        <vt:i4>5</vt:i4>
      </vt:variant>
      <vt:variant>
        <vt:lpwstr>http://www.eionet.europa.eu/sense2/showtable?t=specificationmatches</vt:lpwstr>
      </vt:variant>
      <vt:variant>
        <vt:lpwstr/>
      </vt:variant>
      <vt:variant>
        <vt:i4>1572944</vt:i4>
      </vt:variant>
      <vt:variant>
        <vt:i4>21</vt:i4>
      </vt:variant>
      <vt:variant>
        <vt:i4>0</vt:i4>
      </vt:variant>
      <vt:variant>
        <vt:i4>5</vt:i4>
      </vt:variant>
      <vt:variant>
        <vt:lpwstr>http://www.eionet.europa.eu/sense2/factsheet</vt:lpwstr>
      </vt:variant>
      <vt:variant>
        <vt:lpwstr/>
      </vt:variant>
      <vt:variant>
        <vt:i4>28</vt:i4>
      </vt:variant>
      <vt:variant>
        <vt:i4>18</vt:i4>
      </vt:variant>
      <vt:variant>
        <vt:i4>0</vt:i4>
      </vt:variant>
      <vt:variant>
        <vt:i4>5</vt:i4>
      </vt:variant>
      <vt:variant>
        <vt:lpwstr>http://projects.eionet.europa.eu/sense-2-project/</vt:lpwstr>
      </vt:variant>
      <vt:variant>
        <vt:lpwstr/>
      </vt:variant>
      <vt:variant>
        <vt:i4>5308496</vt:i4>
      </vt:variant>
      <vt:variant>
        <vt:i4>15</vt:i4>
      </vt:variant>
      <vt:variant>
        <vt:i4>0</vt:i4>
      </vt:variant>
      <vt:variant>
        <vt:i4>5</vt:i4>
      </vt:variant>
      <vt:variant>
        <vt:lpwstr>http://daviz.eionet.europa.eu/visualisations/sense-2-national-indicators</vt:lpwstr>
      </vt:variant>
      <vt:variant>
        <vt:lpwstr/>
      </vt:variant>
      <vt:variant>
        <vt:i4>3342432</vt:i4>
      </vt:variant>
      <vt:variant>
        <vt:i4>12</vt:i4>
      </vt:variant>
      <vt:variant>
        <vt:i4>0</vt:i4>
      </vt:variant>
      <vt:variant>
        <vt:i4>5</vt:i4>
      </vt:variant>
      <vt:variant>
        <vt:lpwstr>http://daviz.eionet.europa.eu/</vt:lpwstr>
      </vt:variant>
      <vt:variant>
        <vt:lpwstr/>
      </vt:variant>
      <vt:variant>
        <vt:i4>262162</vt:i4>
      </vt:variant>
      <vt:variant>
        <vt:i4>9</vt:i4>
      </vt:variant>
      <vt:variant>
        <vt:i4>0</vt:i4>
      </vt:variant>
      <vt:variant>
        <vt:i4>5</vt:i4>
      </vt:variant>
      <vt:variant>
        <vt:lpwstr>http://plone.org/products/eea.daviz/</vt:lpwstr>
      </vt:variant>
      <vt:variant>
        <vt:lpwstr/>
      </vt:variant>
      <vt:variant>
        <vt:i4>8323175</vt:i4>
      </vt:variant>
      <vt:variant>
        <vt:i4>6</vt:i4>
      </vt:variant>
      <vt:variant>
        <vt:i4>0</vt:i4>
      </vt:variant>
      <vt:variant>
        <vt:i4>5</vt:i4>
      </vt:variant>
      <vt:variant>
        <vt:lpwstr>http://www.eionet.europa.eu/sense2</vt:lpwstr>
      </vt:variant>
      <vt:variant>
        <vt:lpwstr/>
      </vt:variant>
      <vt:variant>
        <vt:i4>4718656</vt:i4>
      </vt:variant>
      <vt:variant>
        <vt:i4>3</vt:i4>
      </vt:variant>
      <vt:variant>
        <vt:i4>0</vt:i4>
      </vt:variant>
      <vt:variant>
        <vt:i4>5</vt:i4>
      </vt:variant>
      <vt:variant>
        <vt:lpwstr>https://svn.eionet.europa.eu/projects/LinkedData/wiki/SENSE2/ClassDiagram</vt:lpwstr>
      </vt:variant>
      <vt:variant>
        <vt:lpwstr>ClassDiagramandproperties</vt:lpwstr>
      </vt:variant>
      <vt:variant>
        <vt:i4>6750251</vt:i4>
      </vt:variant>
      <vt:variant>
        <vt:i4>0</vt:i4>
      </vt:variant>
      <vt:variant>
        <vt:i4>0</vt:i4>
      </vt:variant>
      <vt:variant>
        <vt:i4>5</vt:i4>
      </vt:variant>
      <vt:variant>
        <vt:lpwstr>http://projects.eionet.europa.eu/sense-2-project/library/tasks/task-1-mapping-national-indicators-selected-eea-indicators/analysis/combined-table-if-indicator-mapping-national-eea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Reportnet for monitoring and reporting under the INSPIRE Directive (2007/2/EC)</dc:title>
  <dc:subject>INSPIRE Monitoring and Reporting</dc:subject>
  <dc:creator>Cetl Vlado</dc:creator>
  <cp:keywords>INSPIRE, Monitoring, Reporting, Reportnet, Eionet, Guidance</cp:keywords>
  <dc:description>This is the initial version – for INSPIRE Monitoring and Reporting in 2013</dc:description>
  <cp:lastModifiedBy>ROBBRECHT Joeri (ENV)</cp:lastModifiedBy>
  <cp:revision>5</cp:revision>
  <cp:lastPrinted>2019-02-25T09:49:00Z</cp:lastPrinted>
  <dcterms:created xsi:type="dcterms:W3CDTF">2019-06-07T08:57:00Z</dcterms:created>
  <dcterms:modified xsi:type="dcterms:W3CDTF">2019-06-07T11:42:00Z</dcterms:modified>
  <cp:category>Guidance document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