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E006B" w14:textId="3A6ADD87" w:rsidR="006D78C2" w:rsidRPr="006621A0" w:rsidRDefault="006D78C2" w:rsidP="00CB44BD">
      <w:pPr>
        <w:pStyle w:val="FootnoteText"/>
        <w:rPr>
          <w:rFonts w:asciiTheme="minorHAnsi" w:hAnsiTheme="minorHAnsi" w:cs="Arial"/>
          <w:b/>
          <w:sz w:val="28"/>
          <w:lang w:eastAsia="zh-CN"/>
        </w:rPr>
      </w:pPr>
      <w:r w:rsidRPr="006621A0">
        <w:rPr>
          <w:rFonts w:asciiTheme="minorHAnsi" w:hAnsiTheme="minorHAnsi" w:cs="Arial"/>
          <w:b/>
          <w:noProof/>
          <w:sz w:val="24"/>
          <w:lang w:eastAsia="en-GB"/>
        </w:rPr>
        <w:drawing>
          <wp:anchor distT="0" distB="0" distL="114300" distR="114300" simplePos="0" relativeHeight="251661824" behindDoc="0" locked="0" layoutInCell="0" allowOverlap="1" wp14:anchorId="745C00E6" wp14:editId="5FB56669">
            <wp:simplePos x="0" y="0"/>
            <wp:positionH relativeFrom="column">
              <wp:posOffset>-17145</wp:posOffset>
            </wp:positionH>
            <wp:positionV relativeFrom="paragraph">
              <wp:posOffset>-244864</wp:posOffset>
            </wp:positionV>
            <wp:extent cx="893445" cy="887730"/>
            <wp:effectExtent l="0" t="0" r="1905" b="7620"/>
            <wp:wrapSquare wrapText="bothSides"/>
            <wp:docPr id="22" name="Picture 22" descr="Description: E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ES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301" w:rsidRPr="006621A0">
        <w:rPr>
          <w:rFonts w:asciiTheme="minorHAnsi" w:hAnsiTheme="minorHAnsi" w:cs="Arial"/>
          <w:b/>
          <w:sz w:val="28"/>
          <w:lang w:eastAsia="zh-CN"/>
        </w:rPr>
        <w:t xml:space="preserve">INSPIRE </w:t>
      </w:r>
      <w:r w:rsidR="006621A0" w:rsidRPr="006621A0">
        <w:rPr>
          <w:rFonts w:asciiTheme="minorHAnsi" w:hAnsiTheme="minorHAnsi" w:cs="Arial"/>
          <w:b/>
          <w:sz w:val="28"/>
          <w:lang w:eastAsia="zh-CN"/>
        </w:rPr>
        <w:br/>
      </w:r>
      <w:r w:rsidRPr="006621A0">
        <w:rPr>
          <w:rFonts w:asciiTheme="minorHAnsi" w:hAnsiTheme="minorHAnsi" w:cs="Arial"/>
          <w:b/>
          <w:sz w:val="28"/>
          <w:lang w:eastAsia="zh-CN"/>
        </w:rPr>
        <w:t>Maintenance and Implementation Group (MIG)</w:t>
      </w:r>
    </w:p>
    <w:p w14:paraId="1992F718" w14:textId="77777777" w:rsidR="006D78C2" w:rsidRPr="006621A0" w:rsidRDefault="006D78C2" w:rsidP="006D78C2">
      <w:pPr>
        <w:suppressAutoHyphens/>
        <w:overflowPunct w:val="0"/>
        <w:autoSpaceDE w:val="0"/>
        <w:spacing w:before="120" w:line="240" w:lineRule="auto"/>
        <w:textAlignment w:val="baseline"/>
        <w:rPr>
          <w:rFonts w:cs="Arial"/>
          <w:sz w:val="20"/>
          <w:szCs w:val="20"/>
          <w:lang w:eastAsia="zh-CN"/>
        </w:rPr>
      </w:pPr>
    </w:p>
    <w:p w14:paraId="361E0E9D" w14:textId="77777777" w:rsidR="006D78C2" w:rsidRPr="00D61EE4" w:rsidRDefault="006D78C2" w:rsidP="006D78C2">
      <w:pPr>
        <w:suppressAutoHyphens/>
        <w:overflowPunct w:val="0"/>
        <w:autoSpaceDE w:val="0"/>
        <w:spacing w:before="120" w:line="240" w:lineRule="auto"/>
        <w:textAlignment w:val="baseline"/>
        <w:rPr>
          <w:rFonts w:ascii="Arial" w:hAnsi="Arial" w:cs="Arial"/>
          <w:sz w:val="20"/>
          <w:szCs w:val="20"/>
          <w:lang w:eastAsia="zh-CN"/>
        </w:rPr>
      </w:pPr>
    </w:p>
    <w:p w14:paraId="671B73A6" w14:textId="02B9D3F7" w:rsidR="006D78C2" w:rsidRPr="006621A0" w:rsidRDefault="00C32D31" w:rsidP="00CE53C6">
      <w:pPr>
        <w:tabs>
          <w:tab w:val="left" w:pos="851"/>
        </w:tabs>
        <w:suppressAutoHyphens/>
        <w:overflowPunct w:val="0"/>
        <w:autoSpaceDE w:val="0"/>
        <w:spacing w:before="120" w:line="240" w:lineRule="auto"/>
        <w:jc w:val="center"/>
        <w:textAlignment w:val="baseline"/>
        <w:rPr>
          <w:rFonts w:cs="Arial"/>
          <w:b/>
          <w:sz w:val="40"/>
          <w:szCs w:val="20"/>
          <w:lang w:eastAsia="zh-CN"/>
        </w:rPr>
      </w:pPr>
      <w:r>
        <w:rPr>
          <w:rFonts w:cs="Arial"/>
          <w:b/>
          <w:sz w:val="40"/>
          <w:szCs w:val="20"/>
          <w:lang w:eastAsia="zh-CN"/>
        </w:rPr>
        <w:t>Update on Commission initiatives</w:t>
      </w:r>
    </w:p>
    <w:p w14:paraId="228910F3" w14:textId="77777777" w:rsidR="006621A0" w:rsidRPr="006621A0" w:rsidRDefault="006621A0" w:rsidP="00CE53C6">
      <w:pPr>
        <w:tabs>
          <w:tab w:val="left" w:pos="851"/>
        </w:tabs>
        <w:suppressAutoHyphens/>
        <w:overflowPunct w:val="0"/>
        <w:autoSpaceDE w:val="0"/>
        <w:spacing w:before="120" w:line="240" w:lineRule="auto"/>
        <w:jc w:val="center"/>
        <w:textAlignment w:val="baseline"/>
        <w:rPr>
          <w:rFonts w:cs="Arial"/>
          <w:sz w:val="20"/>
          <w:szCs w:val="20"/>
          <w:lang w:eastAsia="zh-CN"/>
        </w:rPr>
      </w:pPr>
    </w:p>
    <w:tbl>
      <w:tblPr>
        <w:tblW w:w="871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6662"/>
      </w:tblGrid>
      <w:tr w:rsidR="006D78C2" w:rsidRPr="006621A0" w14:paraId="76E1154F" w14:textId="77777777" w:rsidTr="006621A0">
        <w:tc>
          <w:tcPr>
            <w:tcW w:w="2055" w:type="dxa"/>
            <w:shd w:val="clear" w:color="auto" w:fill="auto"/>
          </w:tcPr>
          <w:p w14:paraId="23309620" w14:textId="77777777" w:rsidR="006D78C2" w:rsidRPr="006621A0" w:rsidRDefault="006D78C2" w:rsidP="00585301">
            <w:pPr>
              <w:suppressAutoHyphens/>
              <w:overflowPunct w:val="0"/>
              <w:autoSpaceDE w:val="0"/>
              <w:spacing w:before="60" w:after="60" w:line="240" w:lineRule="auto"/>
              <w:textAlignment w:val="baseline"/>
              <w:rPr>
                <w:rFonts w:cs="Arial"/>
                <w:b/>
                <w:bCs/>
                <w:sz w:val="20"/>
                <w:szCs w:val="20"/>
                <w:lang w:eastAsia="zh-CN"/>
              </w:rPr>
            </w:pPr>
            <w:r w:rsidRPr="006621A0">
              <w:rPr>
                <w:rFonts w:cs="Arial"/>
                <w:b/>
                <w:bCs/>
                <w:sz w:val="20"/>
                <w:szCs w:val="20"/>
                <w:lang w:eastAsia="zh-CN"/>
              </w:rPr>
              <w:t>T</w:t>
            </w:r>
            <w:r w:rsidR="00585301" w:rsidRPr="006621A0">
              <w:rPr>
                <w:rFonts w:cs="Arial"/>
                <w:b/>
                <w:bCs/>
                <w:sz w:val="20"/>
                <w:szCs w:val="20"/>
                <w:lang w:eastAsia="zh-CN"/>
              </w:rPr>
              <w:t>ype</w:t>
            </w:r>
          </w:p>
        </w:tc>
        <w:tc>
          <w:tcPr>
            <w:tcW w:w="6662" w:type="dxa"/>
            <w:shd w:val="clear" w:color="auto" w:fill="auto"/>
          </w:tcPr>
          <w:p w14:paraId="19FC15E8" w14:textId="04665BF3" w:rsidR="006D78C2" w:rsidRPr="006621A0" w:rsidRDefault="00CE53C6" w:rsidP="00CE53C6">
            <w:pPr>
              <w:suppressAutoHyphens/>
              <w:overflowPunct w:val="0"/>
              <w:autoSpaceDE w:val="0"/>
              <w:spacing w:before="120" w:after="120" w:line="240" w:lineRule="auto"/>
              <w:textAlignment w:val="baseline"/>
              <w:rPr>
                <w:rFonts w:cs="Arial"/>
                <w:sz w:val="20"/>
                <w:szCs w:val="20"/>
                <w:lang w:eastAsia="zh-CN"/>
              </w:rPr>
            </w:pPr>
            <w:r w:rsidRPr="006621A0">
              <w:rPr>
                <w:rFonts w:cs="Arial"/>
                <w:sz w:val="20"/>
                <w:szCs w:val="20"/>
                <w:lang w:eastAsia="zh-CN"/>
              </w:rPr>
              <w:t xml:space="preserve">Information </w:t>
            </w:r>
            <w:r w:rsidR="00585301" w:rsidRPr="006621A0">
              <w:rPr>
                <w:rFonts w:cs="Arial"/>
                <w:sz w:val="20"/>
                <w:szCs w:val="20"/>
                <w:lang w:eastAsia="zh-CN"/>
              </w:rPr>
              <w:t>document</w:t>
            </w:r>
          </w:p>
        </w:tc>
      </w:tr>
      <w:tr w:rsidR="006D78C2" w:rsidRPr="006621A0" w14:paraId="6C19DE0F" w14:textId="77777777" w:rsidTr="006621A0">
        <w:tc>
          <w:tcPr>
            <w:tcW w:w="2055" w:type="dxa"/>
            <w:shd w:val="clear" w:color="auto" w:fill="auto"/>
          </w:tcPr>
          <w:p w14:paraId="33FB6219" w14:textId="77777777" w:rsidR="006D78C2" w:rsidRPr="006621A0" w:rsidRDefault="006D78C2" w:rsidP="006D78C2">
            <w:pPr>
              <w:suppressAutoHyphens/>
              <w:overflowPunct w:val="0"/>
              <w:autoSpaceDE w:val="0"/>
              <w:spacing w:before="120" w:after="120" w:line="240" w:lineRule="auto"/>
              <w:textAlignment w:val="baseline"/>
              <w:rPr>
                <w:rFonts w:cs="Arial"/>
                <w:b/>
                <w:sz w:val="20"/>
                <w:szCs w:val="20"/>
                <w:lang w:eastAsia="zh-CN"/>
              </w:rPr>
            </w:pPr>
            <w:r w:rsidRPr="006621A0">
              <w:rPr>
                <w:rFonts w:cs="Arial"/>
                <w:b/>
                <w:sz w:val="20"/>
                <w:szCs w:val="20"/>
                <w:lang w:eastAsia="zh-CN"/>
              </w:rPr>
              <w:t>Creator</w:t>
            </w:r>
          </w:p>
        </w:tc>
        <w:tc>
          <w:tcPr>
            <w:tcW w:w="6662" w:type="dxa"/>
            <w:shd w:val="clear" w:color="auto" w:fill="auto"/>
          </w:tcPr>
          <w:p w14:paraId="4DEF3039" w14:textId="1B424AC6" w:rsidR="006D78C2" w:rsidRPr="006621A0" w:rsidRDefault="006D78C2" w:rsidP="00BD6806">
            <w:pPr>
              <w:tabs>
                <w:tab w:val="left" w:pos="2535"/>
              </w:tabs>
              <w:suppressAutoHyphens/>
              <w:overflowPunct w:val="0"/>
              <w:autoSpaceDE w:val="0"/>
              <w:spacing w:before="120" w:after="120" w:line="240" w:lineRule="auto"/>
              <w:textAlignment w:val="baseline"/>
              <w:rPr>
                <w:rFonts w:cs="Arial"/>
                <w:b/>
                <w:sz w:val="20"/>
                <w:szCs w:val="20"/>
                <w:lang w:eastAsia="zh-CN"/>
              </w:rPr>
            </w:pPr>
            <w:r w:rsidRPr="006621A0">
              <w:rPr>
                <w:rFonts w:cs="Arial"/>
                <w:sz w:val="20"/>
                <w:szCs w:val="20"/>
                <w:lang w:eastAsia="zh-CN"/>
              </w:rPr>
              <w:t>DG ENV</w:t>
            </w:r>
            <w:r w:rsidR="00BD6806">
              <w:rPr>
                <w:rFonts w:cs="Arial"/>
                <w:sz w:val="20"/>
                <w:szCs w:val="20"/>
                <w:lang w:eastAsia="zh-CN"/>
              </w:rPr>
              <w:tab/>
            </w:r>
          </w:p>
        </w:tc>
      </w:tr>
      <w:tr w:rsidR="006D78C2" w:rsidRPr="006621A0" w14:paraId="02FE6BF6" w14:textId="77777777" w:rsidTr="006621A0">
        <w:tc>
          <w:tcPr>
            <w:tcW w:w="2055" w:type="dxa"/>
            <w:shd w:val="clear" w:color="auto" w:fill="auto"/>
          </w:tcPr>
          <w:p w14:paraId="3768E01C" w14:textId="77777777" w:rsidR="006D78C2" w:rsidRPr="006621A0" w:rsidRDefault="006D78C2" w:rsidP="00585301">
            <w:pPr>
              <w:suppressAutoHyphens/>
              <w:overflowPunct w:val="0"/>
              <w:autoSpaceDE w:val="0"/>
              <w:spacing w:before="120" w:after="120" w:line="240" w:lineRule="auto"/>
              <w:textAlignment w:val="baseline"/>
              <w:rPr>
                <w:rFonts w:cs="Arial"/>
                <w:b/>
                <w:sz w:val="20"/>
                <w:szCs w:val="20"/>
                <w:lang w:eastAsia="zh-CN"/>
              </w:rPr>
            </w:pPr>
            <w:r w:rsidRPr="006621A0">
              <w:rPr>
                <w:rFonts w:cs="Arial"/>
                <w:b/>
                <w:sz w:val="20"/>
                <w:szCs w:val="20"/>
                <w:lang w:eastAsia="zh-CN"/>
              </w:rPr>
              <w:t xml:space="preserve">Date </w:t>
            </w:r>
            <w:r w:rsidR="00585301" w:rsidRPr="006621A0">
              <w:rPr>
                <w:rFonts w:cs="Arial"/>
                <w:b/>
                <w:sz w:val="20"/>
                <w:szCs w:val="20"/>
                <w:lang w:eastAsia="zh-CN"/>
              </w:rPr>
              <w:t>/ status</w:t>
            </w:r>
          </w:p>
        </w:tc>
        <w:tc>
          <w:tcPr>
            <w:tcW w:w="6662" w:type="dxa"/>
            <w:shd w:val="clear" w:color="auto" w:fill="auto"/>
          </w:tcPr>
          <w:p w14:paraId="4D6A52FC" w14:textId="51EC96F9" w:rsidR="006D78C2" w:rsidRPr="006621A0" w:rsidRDefault="00B85041" w:rsidP="00B85041">
            <w:pPr>
              <w:suppressAutoHyphens/>
              <w:overflowPunct w:val="0"/>
              <w:autoSpaceDE w:val="0"/>
              <w:spacing w:before="120" w:after="120" w:line="240" w:lineRule="auto"/>
              <w:textAlignment w:val="baseline"/>
              <w:rPr>
                <w:rFonts w:cs="Arial"/>
                <w:sz w:val="20"/>
                <w:szCs w:val="20"/>
                <w:lang w:eastAsia="zh-CN"/>
              </w:rPr>
            </w:pPr>
            <w:r>
              <w:rPr>
                <w:rFonts w:cs="Arial"/>
                <w:sz w:val="20"/>
                <w:szCs w:val="20"/>
                <w:lang w:eastAsia="zh-CN"/>
              </w:rPr>
              <w:t>20</w:t>
            </w:r>
            <w:bookmarkStart w:id="0" w:name="_GoBack"/>
            <w:bookmarkEnd w:id="0"/>
            <w:r w:rsidR="006D78C2" w:rsidRPr="006621A0">
              <w:rPr>
                <w:rFonts w:cs="Arial"/>
                <w:sz w:val="20"/>
                <w:szCs w:val="20"/>
                <w:lang w:eastAsia="zh-CN"/>
              </w:rPr>
              <w:t>/</w:t>
            </w:r>
            <w:r w:rsidR="00D556EA">
              <w:rPr>
                <w:rFonts w:cs="Arial"/>
                <w:sz w:val="20"/>
                <w:szCs w:val="20"/>
                <w:lang w:eastAsia="zh-CN"/>
              </w:rPr>
              <w:t>06</w:t>
            </w:r>
            <w:r w:rsidR="006D78C2" w:rsidRPr="006621A0">
              <w:rPr>
                <w:rFonts w:cs="Arial"/>
                <w:sz w:val="20"/>
                <w:szCs w:val="20"/>
                <w:lang w:eastAsia="zh-CN"/>
              </w:rPr>
              <w:t>/201</w:t>
            </w:r>
            <w:r w:rsidR="00D556EA">
              <w:rPr>
                <w:rFonts w:cs="Arial"/>
                <w:sz w:val="20"/>
                <w:szCs w:val="20"/>
                <w:lang w:eastAsia="zh-CN"/>
              </w:rPr>
              <w:t>9</w:t>
            </w:r>
            <w:r w:rsidR="0059171D">
              <w:rPr>
                <w:rFonts w:cs="Arial"/>
                <w:sz w:val="20"/>
                <w:szCs w:val="20"/>
                <w:lang w:eastAsia="zh-CN"/>
              </w:rPr>
              <w:t xml:space="preserve"> </w:t>
            </w:r>
            <w:r w:rsidR="00513F3E">
              <w:rPr>
                <w:rFonts w:cs="Arial"/>
                <w:sz w:val="20"/>
                <w:szCs w:val="20"/>
                <w:lang w:eastAsia="zh-CN"/>
              </w:rPr>
              <w:t>/</w:t>
            </w:r>
            <w:r w:rsidR="0059171D">
              <w:rPr>
                <w:rFonts w:cs="Arial"/>
                <w:sz w:val="20"/>
                <w:szCs w:val="20"/>
                <w:lang w:eastAsia="zh-CN"/>
              </w:rPr>
              <w:t xml:space="preserve"> </w:t>
            </w:r>
            <w:r w:rsidR="00513F3E">
              <w:rPr>
                <w:rFonts w:cs="Arial"/>
                <w:sz w:val="20"/>
                <w:szCs w:val="20"/>
                <w:lang w:eastAsia="zh-CN"/>
              </w:rPr>
              <w:t>FINAL</w:t>
            </w:r>
            <w:r>
              <w:rPr>
                <w:rFonts w:cs="Arial"/>
                <w:sz w:val="20"/>
                <w:szCs w:val="20"/>
                <w:lang w:eastAsia="zh-CN"/>
              </w:rPr>
              <w:t xml:space="preserve"> version 1.1</w:t>
            </w:r>
          </w:p>
        </w:tc>
      </w:tr>
      <w:tr w:rsidR="006D78C2" w:rsidRPr="006621A0" w14:paraId="49B2CBFB" w14:textId="77777777" w:rsidTr="006621A0">
        <w:tc>
          <w:tcPr>
            <w:tcW w:w="2055" w:type="dxa"/>
            <w:shd w:val="clear" w:color="auto" w:fill="auto"/>
          </w:tcPr>
          <w:p w14:paraId="75806ABF" w14:textId="77777777" w:rsidR="006D78C2" w:rsidRPr="006621A0" w:rsidRDefault="00585301" w:rsidP="006D78C2">
            <w:pPr>
              <w:suppressAutoHyphens/>
              <w:overflowPunct w:val="0"/>
              <w:autoSpaceDE w:val="0"/>
              <w:spacing w:before="120" w:after="120" w:line="240" w:lineRule="auto"/>
              <w:textAlignment w:val="baseline"/>
              <w:rPr>
                <w:rFonts w:cs="Arial"/>
                <w:b/>
                <w:sz w:val="20"/>
                <w:szCs w:val="20"/>
                <w:lang w:eastAsia="zh-CN"/>
              </w:rPr>
            </w:pPr>
            <w:r w:rsidRPr="006621A0">
              <w:rPr>
                <w:rFonts w:cs="Arial"/>
                <w:b/>
                <w:sz w:val="20"/>
                <w:szCs w:val="20"/>
                <w:lang w:eastAsia="zh-CN"/>
              </w:rPr>
              <w:t>Addressee</w:t>
            </w:r>
          </w:p>
        </w:tc>
        <w:tc>
          <w:tcPr>
            <w:tcW w:w="6662" w:type="dxa"/>
            <w:shd w:val="clear" w:color="auto" w:fill="auto"/>
          </w:tcPr>
          <w:p w14:paraId="5A8C0BF0" w14:textId="291F38B5" w:rsidR="006D78C2" w:rsidRPr="006621A0" w:rsidRDefault="006D78C2" w:rsidP="00C32D31">
            <w:pPr>
              <w:suppressAutoHyphens/>
              <w:overflowPunct w:val="0"/>
              <w:autoSpaceDE w:val="0"/>
              <w:spacing w:before="120" w:after="120" w:line="240" w:lineRule="auto"/>
              <w:textAlignment w:val="baseline"/>
              <w:rPr>
                <w:rFonts w:cs="Arial"/>
                <w:sz w:val="20"/>
                <w:szCs w:val="20"/>
                <w:lang w:eastAsia="zh-CN"/>
              </w:rPr>
            </w:pPr>
            <w:r w:rsidRPr="006621A0">
              <w:rPr>
                <w:rFonts w:cs="Arial"/>
                <w:sz w:val="20"/>
                <w:szCs w:val="20"/>
                <w:lang w:eastAsia="zh-CN"/>
              </w:rPr>
              <w:t>INSPIRE Maintenance and Implementation Group</w:t>
            </w:r>
          </w:p>
        </w:tc>
      </w:tr>
      <w:tr w:rsidR="00585301" w:rsidRPr="006621A0" w14:paraId="10DCD8DE" w14:textId="77777777" w:rsidTr="006621A0">
        <w:tc>
          <w:tcPr>
            <w:tcW w:w="2055" w:type="dxa"/>
            <w:tcBorders>
              <w:bottom w:val="nil"/>
            </w:tcBorders>
            <w:shd w:val="clear" w:color="auto" w:fill="auto"/>
          </w:tcPr>
          <w:p w14:paraId="6B483532" w14:textId="77777777" w:rsidR="00585301" w:rsidRPr="006621A0" w:rsidRDefault="00585301" w:rsidP="006B17BF">
            <w:pPr>
              <w:suppressAutoHyphens/>
              <w:overflowPunct w:val="0"/>
              <w:autoSpaceDE w:val="0"/>
              <w:spacing w:before="120" w:after="120" w:line="240" w:lineRule="auto"/>
              <w:textAlignment w:val="baseline"/>
              <w:rPr>
                <w:rFonts w:cs="Arial"/>
                <w:b/>
                <w:sz w:val="20"/>
                <w:szCs w:val="20"/>
                <w:lang w:eastAsia="zh-CN"/>
              </w:rPr>
            </w:pPr>
            <w:r w:rsidRPr="006621A0">
              <w:rPr>
                <w:rFonts w:cs="Arial"/>
                <w:b/>
                <w:sz w:val="20"/>
                <w:szCs w:val="20"/>
                <w:lang w:eastAsia="zh-CN"/>
              </w:rPr>
              <w:t>Identifier</w:t>
            </w:r>
          </w:p>
        </w:tc>
        <w:tc>
          <w:tcPr>
            <w:tcW w:w="6662" w:type="dxa"/>
            <w:tcBorders>
              <w:bottom w:val="nil"/>
            </w:tcBorders>
            <w:shd w:val="clear" w:color="auto" w:fill="auto"/>
          </w:tcPr>
          <w:p w14:paraId="4C2DB746" w14:textId="4B2FE5C5" w:rsidR="00585301" w:rsidRPr="006621A0" w:rsidRDefault="00585301" w:rsidP="00D556EA">
            <w:pPr>
              <w:suppressAutoHyphens/>
              <w:overflowPunct w:val="0"/>
              <w:autoSpaceDE w:val="0"/>
              <w:spacing w:before="120" w:after="120" w:line="240" w:lineRule="auto"/>
              <w:textAlignment w:val="baseline"/>
              <w:rPr>
                <w:rFonts w:cs="Arial"/>
                <w:b/>
                <w:sz w:val="20"/>
                <w:szCs w:val="20"/>
                <w:lang w:eastAsia="zh-CN"/>
              </w:rPr>
            </w:pPr>
            <w:r w:rsidRPr="006621A0">
              <w:rPr>
                <w:rFonts w:cs="Arial"/>
                <w:b/>
                <w:sz w:val="20"/>
                <w:szCs w:val="20"/>
                <w:lang w:eastAsia="zh-CN"/>
              </w:rPr>
              <w:t>MIG</w:t>
            </w:r>
            <w:r w:rsidR="00C32D31">
              <w:rPr>
                <w:rFonts w:cs="Arial"/>
                <w:b/>
                <w:sz w:val="20"/>
                <w:szCs w:val="20"/>
                <w:lang w:eastAsia="zh-CN"/>
              </w:rPr>
              <w:t>/</w:t>
            </w:r>
            <w:r w:rsidR="00D556EA">
              <w:rPr>
                <w:rFonts w:cs="Arial"/>
                <w:b/>
                <w:sz w:val="20"/>
                <w:szCs w:val="20"/>
                <w:lang w:eastAsia="zh-CN"/>
              </w:rPr>
              <w:t>10</w:t>
            </w:r>
            <w:r w:rsidR="00C32D31">
              <w:rPr>
                <w:rFonts w:cs="Arial"/>
                <w:b/>
                <w:sz w:val="20"/>
                <w:szCs w:val="20"/>
                <w:lang w:eastAsia="zh-CN"/>
              </w:rPr>
              <w:t>/201</w:t>
            </w:r>
            <w:r w:rsidR="00D556EA">
              <w:rPr>
                <w:rFonts w:cs="Arial"/>
                <w:b/>
                <w:sz w:val="20"/>
                <w:szCs w:val="20"/>
                <w:lang w:eastAsia="zh-CN"/>
              </w:rPr>
              <w:t>9</w:t>
            </w:r>
            <w:r w:rsidR="00C32D31">
              <w:rPr>
                <w:rFonts w:cs="Arial"/>
                <w:b/>
                <w:sz w:val="20"/>
                <w:szCs w:val="20"/>
                <w:lang w:eastAsia="zh-CN"/>
              </w:rPr>
              <w:t>/DOC</w:t>
            </w:r>
            <w:r w:rsidR="006F2F76">
              <w:rPr>
                <w:rFonts w:cs="Arial"/>
                <w:b/>
                <w:sz w:val="20"/>
                <w:szCs w:val="20"/>
                <w:lang w:eastAsia="zh-CN"/>
              </w:rPr>
              <w:t>3</w:t>
            </w:r>
            <w:r w:rsidRPr="006621A0">
              <w:rPr>
                <w:rFonts w:cs="Arial"/>
                <w:b/>
                <w:sz w:val="20"/>
                <w:szCs w:val="20"/>
                <w:lang w:eastAsia="zh-CN"/>
              </w:rPr>
              <w:t xml:space="preserve"> </w:t>
            </w:r>
          </w:p>
        </w:tc>
      </w:tr>
      <w:tr w:rsidR="00585301" w:rsidRPr="006621A0" w14:paraId="679FC480" w14:textId="77777777" w:rsidTr="006621A0">
        <w:tc>
          <w:tcPr>
            <w:tcW w:w="2055" w:type="dxa"/>
            <w:tcBorders>
              <w:top w:val="nil"/>
              <w:bottom w:val="single" w:sz="4" w:space="0" w:color="auto"/>
            </w:tcBorders>
            <w:shd w:val="clear" w:color="auto" w:fill="auto"/>
          </w:tcPr>
          <w:p w14:paraId="0378675D" w14:textId="77777777" w:rsidR="00585301" w:rsidRPr="006621A0" w:rsidRDefault="00585301" w:rsidP="00585301">
            <w:pPr>
              <w:spacing w:after="120"/>
              <w:jc w:val="both"/>
              <w:rPr>
                <w:rFonts w:cs="Arial"/>
                <w:sz w:val="20"/>
                <w:szCs w:val="20"/>
                <w:lang w:eastAsia="zh-CN"/>
              </w:rPr>
            </w:pPr>
            <w:r w:rsidRPr="006621A0">
              <w:rPr>
                <w:rFonts w:cs="Arial"/>
                <w:sz w:val="20"/>
                <w:szCs w:val="20"/>
                <w:lang w:eastAsia="zh-CN"/>
              </w:rPr>
              <w:t>Description</w:t>
            </w:r>
          </w:p>
        </w:tc>
        <w:tc>
          <w:tcPr>
            <w:tcW w:w="6662" w:type="dxa"/>
            <w:tcBorders>
              <w:top w:val="nil"/>
              <w:bottom w:val="single" w:sz="4" w:space="0" w:color="auto"/>
            </w:tcBorders>
            <w:shd w:val="clear" w:color="auto" w:fill="auto"/>
          </w:tcPr>
          <w:p w14:paraId="645FDA47" w14:textId="1E7C8337" w:rsidR="00585301" w:rsidRPr="006621A0" w:rsidRDefault="00C32D31" w:rsidP="00CE53C6">
            <w:pPr>
              <w:jc w:val="both"/>
              <w:rPr>
                <w:rFonts w:cs="Arial"/>
                <w:sz w:val="20"/>
                <w:szCs w:val="20"/>
                <w:lang w:eastAsia="zh-CN"/>
              </w:rPr>
            </w:pPr>
            <w:r>
              <w:rPr>
                <w:rFonts w:cs="Arial"/>
                <w:sz w:val="20"/>
                <w:szCs w:val="20"/>
                <w:lang w:eastAsia="zh-CN"/>
              </w:rPr>
              <w:t>Update on Commission initiatives</w:t>
            </w:r>
            <w:r w:rsidR="00900867" w:rsidRPr="006621A0">
              <w:rPr>
                <w:rFonts w:cs="Arial"/>
                <w:sz w:val="20"/>
                <w:szCs w:val="20"/>
                <w:lang w:eastAsia="zh-CN"/>
              </w:rPr>
              <w:t xml:space="preserve">. </w:t>
            </w:r>
          </w:p>
          <w:p w14:paraId="5BDDD0CA" w14:textId="31BFE1FE" w:rsidR="006621A0" w:rsidRPr="006621A0" w:rsidRDefault="006621A0" w:rsidP="00C32D31">
            <w:pPr>
              <w:jc w:val="both"/>
              <w:rPr>
                <w:rFonts w:cs="Arial"/>
                <w:b/>
                <w:sz w:val="20"/>
                <w:szCs w:val="20"/>
                <w:lang w:eastAsia="zh-CN"/>
              </w:rPr>
            </w:pPr>
            <w:r w:rsidRPr="006621A0">
              <w:rPr>
                <w:rFonts w:cs="Arial"/>
                <w:b/>
                <w:sz w:val="20"/>
                <w:szCs w:val="20"/>
                <w:lang w:eastAsia="zh-CN"/>
              </w:rPr>
              <w:t>MIG members are invited to take note of this information and to share it with relevant colleagues and communities, as appropriate.</w:t>
            </w:r>
          </w:p>
        </w:tc>
      </w:tr>
    </w:tbl>
    <w:p w14:paraId="74CC3AD9" w14:textId="65576238" w:rsidR="005B012B" w:rsidRPr="005B012B" w:rsidRDefault="005B012B" w:rsidP="005B012B">
      <w:pPr>
        <w:jc w:val="center"/>
        <w:rPr>
          <w:rFonts w:ascii="Arial" w:hAnsi="Arial" w:cs="Arial"/>
          <w:b/>
          <w:sz w:val="28"/>
          <w:szCs w:val="20"/>
        </w:rPr>
      </w:pPr>
    </w:p>
    <w:sdt>
      <w:sdtPr>
        <w:rPr>
          <w:rFonts w:asciiTheme="minorHAnsi" w:eastAsiaTheme="minorHAnsi" w:hAnsiTheme="minorHAnsi" w:cstheme="minorBidi"/>
          <w:b w:val="0"/>
          <w:bCs w:val="0"/>
          <w:color w:val="auto"/>
          <w:sz w:val="22"/>
          <w:szCs w:val="22"/>
          <w:lang w:val="en-GB" w:eastAsia="en-US"/>
        </w:rPr>
        <w:id w:val="-305319990"/>
        <w:docPartObj>
          <w:docPartGallery w:val="Table of Contents"/>
          <w:docPartUnique/>
        </w:docPartObj>
      </w:sdtPr>
      <w:sdtEndPr>
        <w:rPr>
          <w:noProof/>
        </w:rPr>
      </w:sdtEndPr>
      <w:sdtContent>
        <w:p w14:paraId="50A7BE85" w14:textId="7C6B364A" w:rsidR="00580AE2" w:rsidRPr="006621A0" w:rsidRDefault="00580AE2" w:rsidP="00070D9E">
          <w:pPr>
            <w:pStyle w:val="TOCHeading"/>
          </w:pPr>
          <w:r w:rsidRPr="006621A0">
            <w:t>Contents</w:t>
          </w:r>
        </w:p>
        <w:p w14:paraId="06D81AFC" w14:textId="77777777" w:rsidR="000E1F5F" w:rsidRDefault="00580AE2">
          <w:pPr>
            <w:pStyle w:val="TOC1"/>
            <w:rPr>
              <w:rFonts w:eastAsiaTheme="minorEastAsia" w:cstheme="minorBidi"/>
              <w:noProof/>
              <w:szCs w:val="22"/>
              <w:lang w:eastAsia="en-GB"/>
            </w:rPr>
          </w:pPr>
          <w:r w:rsidRPr="006621A0">
            <w:rPr>
              <w:caps/>
              <w:sz w:val="20"/>
            </w:rPr>
            <w:fldChar w:fldCharType="begin"/>
          </w:r>
          <w:r w:rsidRPr="006621A0">
            <w:instrText xml:space="preserve"> TOC \o "1-3" \h \z \u </w:instrText>
          </w:r>
          <w:r w:rsidRPr="006621A0">
            <w:rPr>
              <w:caps/>
              <w:sz w:val="20"/>
            </w:rPr>
            <w:fldChar w:fldCharType="separate"/>
          </w:r>
          <w:hyperlink w:anchor="_Toc11409467" w:history="1">
            <w:r w:rsidR="000E1F5F" w:rsidRPr="00730A29">
              <w:rPr>
                <w:rStyle w:val="Hyperlink"/>
                <w:noProof/>
              </w:rPr>
              <w:t>1.</w:t>
            </w:r>
            <w:r w:rsidR="000E1F5F">
              <w:rPr>
                <w:rFonts w:eastAsiaTheme="minorEastAsia" w:cstheme="minorBidi"/>
                <w:noProof/>
                <w:szCs w:val="22"/>
                <w:lang w:eastAsia="en-GB"/>
              </w:rPr>
              <w:tab/>
            </w:r>
            <w:r w:rsidR="000E1F5F" w:rsidRPr="00730A29">
              <w:rPr>
                <w:rStyle w:val="Hyperlink"/>
                <w:noProof/>
              </w:rPr>
              <w:t>Reporting Fitness Check: outcome and next steps, relevance for INSPIRE (Action 6) and alignment proposal (Action 1) (ENV)</w:t>
            </w:r>
            <w:r w:rsidR="000E1F5F">
              <w:rPr>
                <w:noProof/>
                <w:webHidden/>
              </w:rPr>
              <w:tab/>
            </w:r>
            <w:r w:rsidR="000E1F5F">
              <w:rPr>
                <w:noProof/>
                <w:webHidden/>
              </w:rPr>
              <w:fldChar w:fldCharType="begin"/>
            </w:r>
            <w:r w:rsidR="000E1F5F">
              <w:rPr>
                <w:noProof/>
                <w:webHidden/>
              </w:rPr>
              <w:instrText xml:space="preserve"> PAGEREF _Toc11409467 \h </w:instrText>
            </w:r>
            <w:r w:rsidR="000E1F5F">
              <w:rPr>
                <w:noProof/>
                <w:webHidden/>
              </w:rPr>
            </w:r>
            <w:r w:rsidR="000E1F5F">
              <w:rPr>
                <w:noProof/>
                <w:webHidden/>
              </w:rPr>
              <w:fldChar w:fldCharType="separate"/>
            </w:r>
            <w:r w:rsidR="000E1F5F">
              <w:rPr>
                <w:noProof/>
                <w:webHidden/>
              </w:rPr>
              <w:t>2</w:t>
            </w:r>
            <w:r w:rsidR="000E1F5F">
              <w:rPr>
                <w:noProof/>
                <w:webHidden/>
              </w:rPr>
              <w:fldChar w:fldCharType="end"/>
            </w:r>
          </w:hyperlink>
        </w:p>
        <w:p w14:paraId="2B8FEE32" w14:textId="77777777" w:rsidR="000E1F5F" w:rsidRDefault="00B85041">
          <w:pPr>
            <w:pStyle w:val="TOC2"/>
            <w:rPr>
              <w:rFonts w:asciiTheme="minorHAnsi" w:eastAsiaTheme="minorEastAsia" w:hAnsiTheme="minorHAnsi" w:cstheme="minorBidi"/>
              <w:sz w:val="22"/>
              <w:szCs w:val="22"/>
              <w:lang w:eastAsia="en-GB"/>
            </w:rPr>
          </w:pPr>
          <w:hyperlink w:anchor="_Toc11409468" w:history="1">
            <w:r w:rsidR="000E1F5F" w:rsidRPr="00730A29">
              <w:rPr>
                <w:rStyle w:val="Hyperlink"/>
                <w:lang w:val="en"/>
              </w:rPr>
              <w:t>1.1. Alignment Proposal (to update)</w:t>
            </w:r>
            <w:r w:rsidR="000E1F5F">
              <w:rPr>
                <w:webHidden/>
              </w:rPr>
              <w:tab/>
            </w:r>
            <w:r w:rsidR="000E1F5F">
              <w:rPr>
                <w:webHidden/>
              </w:rPr>
              <w:fldChar w:fldCharType="begin"/>
            </w:r>
            <w:r w:rsidR="000E1F5F">
              <w:rPr>
                <w:webHidden/>
              </w:rPr>
              <w:instrText xml:space="preserve"> PAGEREF _Toc11409468 \h </w:instrText>
            </w:r>
            <w:r w:rsidR="000E1F5F">
              <w:rPr>
                <w:webHidden/>
              </w:rPr>
            </w:r>
            <w:r w:rsidR="000E1F5F">
              <w:rPr>
                <w:webHidden/>
              </w:rPr>
              <w:fldChar w:fldCharType="separate"/>
            </w:r>
            <w:r w:rsidR="000E1F5F">
              <w:rPr>
                <w:webHidden/>
              </w:rPr>
              <w:t>2</w:t>
            </w:r>
            <w:r w:rsidR="000E1F5F">
              <w:rPr>
                <w:webHidden/>
              </w:rPr>
              <w:fldChar w:fldCharType="end"/>
            </w:r>
          </w:hyperlink>
        </w:p>
        <w:p w14:paraId="4BB1BF6E" w14:textId="77777777" w:rsidR="000E1F5F" w:rsidRDefault="00B85041">
          <w:pPr>
            <w:pStyle w:val="TOC2"/>
            <w:rPr>
              <w:rFonts w:asciiTheme="minorHAnsi" w:eastAsiaTheme="minorEastAsia" w:hAnsiTheme="minorHAnsi" w:cstheme="minorBidi"/>
              <w:sz w:val="22"/>
              <w:szCs w:val="22"/>
              <w:lang w:eastAsia="en-GB"/>
            </w:rPr>
          </w:pPr>
          <w:hyperlink w:anchor="_Toc11409469" w:history="1">
            <w:r w:rsidR="000E1F5F" w:rsidRPr="00730A29">
              <w:rPr>
                <w:rStyle w:val="Hyperlink"/>
              </w:rPr>
              <w:t>1.2. INSPIRE &amp; streamlined e-Reporting</w:t>
            </w:r>
            <w:r w:rsidR="000E1F5F">
              <w:rPr>
                <w:webHidden/>
              </w:rPr>
              <w:tab/>
            </w:r>
            <w:r w:rsidR="000E1F5F">
              <w:rPr>
                <w:webHidden/>
              </w:rPr>
              <w:fldChar w:fldCharType="begin"/>
            </w:r>
            <w:r w:rsidR="000E1F5F">
              <w:rPr>
                <w:webHidden/>
              </w:rPr>
              <w:instrText xml:space="preserve"> PAGEREF _Toc11409469 \h </w:instrText>
            </w:r>
            <w:r w:rsidR="000E1F5F">
              <w:rPr>
                <w:webHidden/>
              </w:rPr>
            </w:r>
            <w:r w:rsidR="000E1F5F">
              <w:rPr>
                <w:webHidden/>
              </w:rPr>
              <w:fldChar w:fldCharType="separate"/>
            </w:r>
            <w:r w:rsidR="000E1F5F">
              <w:rPr>
                <w:webHidden/>
              </w:rPr>
              <w:t>3</w:t>
            </w:r>
            <w:r w:rsidR="000E1F5F">
              <w:rPr>
                <w:webHidden/>
              </w:rPr>
              <w:fldChar w:fldCharType="end"/>
            </w:r>
          </w:hyperlink>
        </w:p>
        <w:p w14:paraId="7D09B730" w14:textId="77777777" w:rsidR="000E1F5F" w:rsidRDefault="00B85041">
          <w:pPr>
            <w:pStyle w:val="TOC3"/>
            <w:rPr>
              <w:rFonts w:asciiTheme="minorHAnsi" w:eastAsiaTheme="minorEastAsia" w:hAnsiTheme="minorHAnsi" w:cstheme="minorBidi"/>
              <w:noProof/>
              <w:sz w:val="22"/>
              <w:szCs w:val="22"/>
              <w:lang w:eastAsia="en-GB"/>
            </w:rPr>
          </w:pPr>
          <w:hyperlink w:anchor="_Toc11409470" w:history="1">
            <w:r w:rsidR="000E1F5F" w:rsidRPr="00730A29">
              <w:rPr>
                <w:rStyle w:val="Hyperlink"/>
                <w:noProof/>
              </w:rPr>
              <w:t>1.2.1. Environmental Noise Directive</w:t>
            </w:r>
            <w:r w:rsidR="000E1F5F">
              <w:rPr>
                <w:noProof/>
                <w:webHidden/>
              </w:rPr>
              <w:tab/>
            </w:r>
            <w:r w:rsidR="000E1F5F">
              <w:rPr>
                <w:noProof/>
                <w:webHidden/>
              </w:rPr>
              <w:fldChar w:fldCharType="begin"/>
            </w:r>
            <w:r w:rsidR="000E1F5F">
              <w:rPr>
                <w:noProof/>
                <w:webHidden/>
              </w:rPr>
              <w:instrText xml:space="preserve"> PAGEREF _Toc11409470 \h </w:instrText>
            </w:r>
            <w:r w:rsidR="000E1F5F">
              <w:rPr>
                <w:noProof/>
                <w:webHidden/>
              </w:rPr>
            </w:r>
            <w:r w:rsidR="000E1F5F">
              <w:rPr>
                <w:noProof/>
                <w:webHidden/>
              </w:rPr>
              <w:fldChar w:fldCharType="separate"/>
            </w:r>
            <w:r w:rsidR="000E1F5F">
              <w:rPr>
                <w:noProof/>
                <w:webHidden/>
              </w:rPr>
              <w:t>3</w:t>
            </w:r>
            <w:r w:rsidR="000E1F5F">
              <w:rPr>
                <w:noProof/>
                <w:webHidden/>
              </w:rPr>
              <w:fldChar w:fldCharType="end"/>
            </w:r>
          </w:hyperlink>
        </w:p>
        <w:p w14:paraId="78C594F6" w14:textId="77777777" w:rsidR="000E1F5F" w:rsidRDefault="00B85041">
          <w:pPr>
            <w:pStyle w:val="TOC1"/>
            <w:rPr>
              <w:rFonts w:eastAsiaTheme="minorEastAsia" w:cstheme="minorBidi"/>
              <w:noProof/>
              <w:szCs w:val="22"/>
              <w:lang w:eastAsia="en-GB"/>
            </w:rPr>
          </w:pPr>
          <w:hyperlink w:anchor="_Toc11409471" w:history="1">
            <w:r w:rsidR="000E1F5F" w:rsidRPr="00730A29">
              <w:rPr>
                <w:rStyle w:val="Hyperlink"/>
                <w:noProof/>
              </w:rPr>
              <w:t>2.</w:t>
            </w:r>
            <w:r w:rsidR="000E1F5F">
              <w:rPr>
                <w:rFonts w:eastAsiaTheme="minorEastAsia" w:cstheme="minorBidi"/>
                <w:noProof/>
                <w:szCs w:val="22"/>
                <w:lang w:eastAsia="en-GB"/>
              </w:rPr>
              <w:tab/>
            </w:r>
            <w:r w:rsidR="000E1F5F" w:rsidRPr="00730A29">
              <w:rPr>
                <w:rStyle w:val="Hyperlink"/>
                <w:noProof/>
              </w:rPr>
              <w:t>Reportnet 3.0</w:t>
            </w:r>
            <w:r w:rsidR="000E1F5F">
              <w:rPr>
                <w:noProof/>
                <w:webHidden/>
              </w:rPr>
              <w:tab/>
            </w:r>
            <w:r w:rsidR="000E1F5F">
              <w:rPr>
                <w:noProof/>
                <w:webHidden/>
              </w:rPr>
              <w:fldChar w:fldCharType="begin"/>
            </w:r>
            <w:r w:rsidR="000E1F5F">
              <w:rPr>
                <w:noProof/>
                <w:webHidden/>
              </w:rPr>
              <w:instrText xml:space="preserve"> PAGEREF _Toc11409471 \h </w:instrText>
            </w:r>
            <w:r w:rsidR="000E1F5F">
              <w:rPr>
                <w:noProof/>
                <w:webHidden/>
              </w:rPr>
            </w:r>
            <w:r w:rsidR="000E1F5F">
              <w:rPr>
                <w:noProof/>
                <w:webHidden/>
              </w:rPr>
              <w:fldChar w:fldCharType="separate"/>
            </w:r>
            <w:r w:rsidR="000E1F5F">
              <w:rPr>
                <w:noProof/>
                <w:webHidden/>
              </w:rPr>
              <w:t>4</w:t>
            </w:r>
            <w:r w:rsidR="000E1F5F">
              <w:rPr>
                <w:noProof/>
                <w:webHidden/>
              </w:rPr>
              <w:fldChar w:fldCharType="end"/>
            </w:r>
          </w:hyperlink>
        </w:p>
        <w:p w14:paraId="4EF08A31" w14:textId="77777777" w:rsidR="000E1F5F" w:rsidRDefault="00B85041">
          <w:pPr>
            <w:pStyle w:val="TOC1"/>
            <w:rPr>
              <w:rFonts w:eastAsiaTheme="minorEastAsia" w:cstheme="minorBidi"/>
              <w:noProof/>
              <w:szCs w:val="22"/>
              <w:lang w:eastAsia="en-GB"/>
            </w:rPr>
          </w:pPr>
          <w:hyperlink w:anchor="_Toc11409472" w:history="1">
            <w:r w:rsidR="000E1F5F" w:rsidRPr="00730A29">
              <w:rPr>
                <w:rStyle w:val="Hyperlink"/>
                <w:noProof/>
              </w:rPr>
              <w:t>3.</w:t>
            </w:r>
            <w:r w:rsidR="000E1F5F">
              <w:rPr>
                <w:rFonts w:eastAsiaTheme="minorEastAsia" w:cstheme="minorBidi"/>
                <w:noProof/>
                <w:szCs w:val="22"/>
                <w:lang w:eastAsia="en-GB"/>
              </w:rPr>
              <w:tab/>
            </w:r>
            <w:r w:rsidR="000E1F5F" w:rsidRPr="00730A29">
              <w:rPr>
                <w:rStyle w:val="Hyperlink"/>
                <w:noProof/>
              </w:rPr>
              <w:t>Study on improving national environmental information and data harvesting</w:t>
            </w:r>
            <w:r w:rsidR="000E1F5F">
              <w:rPr>
                <w:noProof/>
                <w:webHidden/>
              </w:rPr>
              <w:tab/>
            </w:r>
            <w:r w:rsidR="000E1F5F">
              <w:rPr>
                <w:noProof/>
                <w:webHidden/>
              </w:rPr>
              <w:fldChar w:fldCharType="begin"/>
            </w:r>
            <w:r w:rsidR="000E1F5F">
              <w:rPr>
                <w:noProof/>
                <w:webHidden/>
              </w:rPr>
              <w:instrText xml:space="preserve"> PAGEREF _Toc11409472 \h </w:instrText>
            </w:r>
            <w:r w:rsidR="000E1F5F">
              <w:rPr>
                <w:noProof/>
                <w:webHidden/>
              </w:rPr>
            </w:r>
            <w:r w:rsidR="000E1F5F">
              <w:rPr>
                <w:noProof/>
                <w:webHidden/>
              </w:rPr>
              <w:fldChar w:fldCharType="separate"/>
            </w:r>
            <w:r w:rsidR="000E1F5F">
              <w:rPr>
                <w:noProof/>
                <w:webHidden/>
              </w:rPr>
              <w:t>5</w:t>
            </w:r>
            <w:r w:rsidR="000E1F5F">
              <w:rPr>
                <w:noProof/>
                <w:webHidden/>
              </w:rPr>
              <w:fldChar w:fldCharType="end"/>
            </w:r>
          </w:hyperlink>
        </w:p>
        <w:p w14:paraId="7CF25822" w14:textId="77777777" w:rsidR="000E1F5F" w:rsidRDefault="00B85041">
          <w:pPr>
            <w:pStyle w:val="TOC1"/>
            <w:rPr>
              <w:rFonts w:eastAsiaTheme="minorEastAsia" w:cstheme="minorBidi"/>
              <w:noProof/>
              <w:szCs w:val="22"/>
              <w:lang w:eastAsia="en-GB"/>
            </w:rPr>
          </w:pPr>
          <w:hyperlink w:anchor="_Toc11409473" w:history="1">
            <w:r w:rsidR="000E1F5F" w:rsidRPr="00730A29">
              <w:rPr>
                <w:rStyle w:val="Hyperlink"/>
                <w:noProof/>
              </w:rPr>
              <w:t>4.</w:t>
            </w:r>
            <w:r w:rsidR="000E1F5F">
              <w:rPr>
                <w:rFonts w:eastAsiaTheme="minorEastAsia" w:cstheme="minorBidi"/>
                <w:noProof/>
                <w:szCs w:val="22"/>
                <w:lang w:eastAsia="en-GB"/>
              </w:rPr>
              <w:tab/>
            </w:r>
            <w:r w:rsidR="000E1F5F" w:rsidRPr="00730A29">
              <w:rPr>
                <w:rStyle w:val="Hyperlink"/>
                <w:noProof/>
              </w:rPr>
              <w:t>Study of INSPIRE data sharing, access and use (Art. 17 and related provisions)</w:t>
            </w:r>
            <w:r w:rsidR="000E1F5F">
              <w:rPr>
                <w:noProof/>
                <w:webHidden/>
              </w:rPr>
              <w:tab/>
            </w:r>
            <w:r w:rsidR="000E1F5F">
              <w:rPr>
                <w:noProof/>
                <w:webHidden/>
              </w:rPr>
              <w:fldChar w:fldCharType="begin"/>
            </w:r>
            <w:r w:rsidR="000E1F5F">
              <w:rPr>
                <w:noProof/>
                <w:webHidden/>
              </w:rPr>
              <w:instrText xml:space="preserve"> PAGEREF _Toc11409473 \h </w:instrText>
            </w:r>
            <w:r w:rsidR="000E1F5F">
              <w:rPr>
                <w:noProof/>
                <w:webHidden/>
              </w:rPr>
            </w:r>
            <w:r w:rsidR="000E1F5F">
              <w:rPr>
                <w:noProof/>
                <w:webHidden/>
              </w:rPr>
              <w:fldChar w:fldCharType="separate"/>
            </w:r>
            <w:r w:rsidR="000E1F5F">
              <w:rPr>
                <w:noProof/>
                <w:webHidden/>
              </w:rPr>
              <w:t>6</w:t>
            </w:r>
            <w:r w:rsidR="000E1F5F">
              <w:rPr>
                <w:noProof/>
                <w:webHidden/>
              </w:rPr>
              <w:fldChar w:fldCharType="end"/>
            </w:r>
          </w:hyperlink>
        </w:p>
        <w:p w14:paraId="782C047D" w14:textId="77777777" w:rsidR="000E1F5F" w:rsidRDefault="00B85041">
          <w:pPr>
            <w:pStyle w:val="TOC1"/>
            <w:rPr>
              <w:rFonts w:eastAsiaTheme="minorEastAsia" w:cstheme="minorBidi"/>
              <w:noProof/>
              <w:szCs w:val="22"/>
              <w:lang w:eastAsia="en-GB"/>
            </w:rPr>
          </w:pPr>
          <w:hyperlink w:anchor="_Toc11409474" w:history="1">
            <w:r w:rsidR="000E1F5F" w:rsidRPr="00730A29">
              <w:rPr>
                <w:rStyle w:val="Hyperlink"/>
                <w:noProof/>
              </w:rPr>
              <w:t>5.</w:t>
            </w:r>
            <w:r w:rsidR="000E1F5F">
              <w:rPr>
                <w:rFonts w:eastAsiaTheme="minorEastAsia" w:cstheme="minorBidi"/>
                <w:noProof/>
                <w:szCs w:val="22"/>
                <w:lang w:eastAsia="en-GB"/>
              </w:rPr>
              <w:tab/>
            </w:r>
            <w:r w:rsidR="000E1F5F" w:rsidRPr="00730A29">
              <w:rPr>
                <w:rStyle w:val="Hyperlink"/>
                <w:noProof/>
              </w:rPr>
              <w:t>Copernicus in-situ and INSPIRE – latest developments</w:t>
            </w:r>
            <w:r w:rsidR="000E1F5F">
              <w:rPr>
                <w:noProof/>
                <w:webHidden/>
              </w:rPr>
              <w:tab/>
            </w:r>
            <w:r w:rsidR="000E1F5F">
              <w:rPr>
                <w:noProof/>
                <w:webHidden/>
              </w:rPr>
              <w:fldChar w:fldCharType="begin"/>
            </w:r>
            <w:r w:rsidR="000E1F5F">
              <w:rPr>
                <w:noProof/>
                <w:webHidden/>
              </w:rPr>
              <w:instrText xml:space="preserve"> PAGEREF _Toc11409474 \h </w:instrText>
            </w:r>
            <w:r w:rsidR="000E1F5F">
              <w:rPr>
                <w:noProof/>
                <w:webHidden/>
              </w:rPr>
            </w:r>
            <w:r w:rsidR="000E1F5F">
              <w:rPr>
                <w:noProof/>
                <w:webHidden/>
              </w:rPr>
              <w:fldChar w:fldCharType="separate"/>
            </w:r>
            <w:r w:rsidR="000E1F5F">
              <w:rPr>
                <w:noProof/>
                <w:webHidden/>
              </w:rPr>
              <w:t>6</w:t>
            </w:r>
            <w:r w:rsidR="000E1F5F">
              <w:rPr>
                <w:noProof/>
                <w:webHidden/>
              </w:rPr>
              <w:fldChar w:fldCharType="end"/>
            </w:r>
          </w:hyperlink>
        </w:p>
        <w:p w14:paraId="4BB51E14" w14:textId="77777777" w:rsidR="000E1F5F" w:rsidRDefault="00B85041">
          <w:pPr>
            <w:pStyle w:val="TOC1"/>
            <w:rPr>
              <w:rFonts w:eastAsiaTheme="minorEastAsia" w:cstheme="minorBidi"/>
              <w:noProof/>
              <w:szCs w:val="22"/>
              <w:lang w:eastAsia="en-GB"/>
            </w:rPr>
          </w:pPr>
          <w:hyperlink w:anchor="_Toc11409475" w:history="1">
            <w:r w:rsidR="000E1F5F" w:rsidRPr="00730A29">
              <w:rPr>
                <w:rStyle w:val="Hyperlink"/>
                <w:noProof/>
              </w:rPr>
              <w:t>6.</w:t>
            </w:r>
            <w:r w:rsidR="000E1F5F">
              <w:rPr>
                <w:rFonts w:eastAsiaTheme="minorEastAsia" w:cstheme="minorBidi"/>
                <w:noProof/>
                <w:szCs w:val="22"/>
                <w:lang w:eastAsia="en-GB"/>
              </w:rPr>
              <w:tab/>
            </w:r>
            <w:r w:rsidR="000E1F5F" w:rsidRPr="00730A29">
              <w:rPr>
                <w:rStyle w:val="Hyperlink"/>
                <w:noProof/>
              </w:rPr>
              <w:t>Overview and main conclusion from the 2019 Monitoring &amp; Reporting exercise</w:t>
            </w:r>
            <w:r w:rsidR="000E1F5F">
              <w:rPr>
                <w:noProof/>
                <w:webHidden/>
              </w:rPr>
              <w:tab/>
            </w:r>
            <w:r w:rsidR="000E1F5F">
              <w:rPr>
                <w:noProof/>
                <w:webHidden/>
              </w:rPr>
              <w:fldChar w:fldCharType="begin"/>
            </w:r>
            <w:r w:rsidR="000E1F5F">
              <w:rPr>
                <w:noProof/>
                <w:webHidden/>
              </w:rPr>
              <w:instrText xml:space="preserve"> PAGEREF _Toc11409475 \h </w:instrText>
            </w:r>
            <w:r w:rsidR="000E1F5F">
              <w:rPr>
                <w:noProof/>
                <w:webHidden/>
              </w:rPr>
            </w:r>
            <w:r w:rsidR="000E1F5F">
              <w:rPr>
                <w:noProof/>
                <w:webHidden/>
              </w:rPr>
              <w:fldChar w:fldCharType="separate"/>
            </w:r>
            <w:r w:rsidR="000E1F5F">
              <w:rPr>
                <w:noProof/>
                <w:webHidden/>
              </w:rPr>
              <w:t>7</w:t>
            </w:r>
            <w:r w:rsidR="000E1F5F">
              <w:rPr>
                <w:noProof/>
                <w:webHidden/>
              </w:rPr>
              <w:fldChar w:fldCharType="end"/>
            </w:r>
          </w:hyperlink>
        </w:p>
        <w:p w14:paraId="7E4FCA0A" w14:textId="77777777" w:rsidR="000E1F5F" w:rsidRDefault="00B85041">
          <w:pPr>
            <w:pStyle w:val="TOC1"/>
            <w:rPr>
              <w:rFonts w:eastAsiaTheme="minorEastAsia" w:cstheme="minorBidi"/>
              <w:noProof/>
              <w:szCs w:val="22"/>
              <w:lang w:eastAsia="en-GB"/>
            </w:rPr>
          </w:pPr>
          <w:hyperlink w:anchor="_Toc11409476" w:history="1">
            <w:r w:rsidR="000E1F5F" w:rsidRPr="00730A29">
              <w:rPr>
                <w:rStyle w:val="Hyperlink"/>
                <w:noProof/>
              </w:rPr>
              <w:t>7.</w:t>
            </w:r>
            <w:r w:rsidR="000E1F5F">
              <w:rPr>
                <w:rFonts w:eastAsiaTheme="minorEastAsia" w:cstheme="minorBidi"/>
                <w:noProof/>
                <w:szCs w:val="22"/>
                <w:lang w:eastAsia="en-GB"/>
              </w:rPr>
              <w:tab/>
            </w:r>
            <w:r w:rsidR="000E1F5F" w:rsidRPr="00730A29">
              <w:rPr>
                <w:rStyle w:val="Hyperlink"/>
                <w:noProof/>
              </w:rPr>
              <w:t>Enforcement action</w:t>
            </w:r>
            <w:r w:rsidR="000E1F5F">
              <w:rPr>
                <w:noProof/>
                <w:webHidden/>
              </w:rPr>
              <w:tab/>
            </w:r>
            <w:r w:rsidR="000E1F5F">
              <w:rPr>
                <w:noProof/>
                <w:webHidden/>
              </w:rPr>
              <w:fldChar w:fldCharType="begin"/>
            </w:r>
            <w:r w:rsidR="000E1F5F">
              <w:rPr>
                <w:noProof/>
                <w:webHidden/>
              </w:rPr>
              <w:instrText xml:space="preserve"> PAGEREF _Toc11409476 \h </w:instrText>
            </w:r>
            <w:r w:rsidR="000E1F5F">
              <w:rPr>
                <w:noProof/>
                <w:webHidden/>
              </w:rPr>
            </w:r>
            <w:r w:rsidR="000E1F5F">
              <w:rPr>
                <w:noProof/>
                <w:webHidden/>
              </w:rPr>
              <w:fldChar w:fldCharType="separate"/>
            </w:r>
            <w:r w:rsidR="000E1F5F">
              <w:rPr>
                <w:noProof/>
                <w:webHidden/>
              </w:rPr>
              <w:t>8</w:t>
            </w:r>
            <w:r w:rsidR="000E1F5F">
              <w:rPr>
                <w:noProof/>
                <w:webHidden/>
              </w:rPr>
              <w:fldChar w:fldCharType="end"/>
            </w:r>
          </w:hyperlink>
        </w:p>
        <w:p w14:paraId="4E44CEC1" w14:textId="01CB49D5" w:rsidR="00580AE2" w:rsidRDefault="00580AE2">
          <w:pPr>
            <w:rPr>
              <w:noProof/>
            </w:rPr>
          </w:pPr>
          <w:r w:rsidRPr="006621A0">
            <w:rPr>
              <w:b/>
              <w:bCs/>
              <w:noProof/>
            </w:rPr>
            <w:fldChar w:fldCharType="end"/>
          </w:r>
        </w:p>
      </w:sdtContent>
    </w:sdt>
    <w:p w14:paraId="22C35CA6" w14:textId="77777777" w:rsidR="001216A9" w:rsidRDefault="001216A9"/>
    <w:p w14:paraId="1E1FA40F" w14:textId="52546FB6" w:rsidR="00DD4DEA" w:rsidRDefault="00C32D31" w:rsidP="00070D9E">
      <w:pPr>
        <w:pStyle w:val="Heading1"/>
      </w:pPr>
      <w:bookmarkStart w:id="1" w:name="_Toc11409467"/>
      <w:r>
        <w:lastRenderedPageBreak/>
        <w:t>Reporting Fitness Check: outcome and next steps, relevance for INSPIRE</w:t>
      </w:r>
      <w:r w:rsidR="00EE0E15">
        <w:t xml:space="preserve"> (Action 6)</w:t>
      </w:r>
      <w:r>
        <w:t xml:space="preserve"> and alignment proposal</w:t>
      </w:r>
      <w:r w:rsidR="003A275C">
        <w:t xml:space="preserve"> (Action 1)</w:t>
      </w:r>
      <w:r w:rsidR="001F58D7">
        <w:t xml:space="preserve"> (ENV)</w:t>
      </w:r>
      <w:bookmarkEnd w:id="1"/>
    </w:p>
    <w:p w14:paraId="6A3AE6E5" w14:textId="0B43AF5B" w:rsidR="00251ECB" w:rsidRDefault="00251ECB" w:rsidP="00251ECB">
      <w:pPr>
        <w:pStyle w:val="Heading2"/>
        <w:rPr>
          <w:lang w:val="en"/>
        </w:rPr>
      </w:pPr>
      <w:bookmarkStart w:id="2" w:name="_Toc11409468"/>
      <w:r>
        <w:rPr>
          <w:lang w:val="en"/>
        </w:rPr>
        <w:t>Alignment Proposal</w:t>
      </w:r>
      <w:r w:rsidR="00AE51E8">
        <w:rPr>
          <w:lang w:val="en"/>
        </w:rPr>
        <w:t xml:space="preserve"> (to update)</w:t>
      </w:r>
      <w:bookmarkEnd w:id="2"/>
    </w:p>
    <w:p w14:paraId="59B79D39" w14:textId="00CF318E" w:rsidR="00FC4EB6" w:rsidRPr="00FC4EB6" w:rsidRDefault="00FC4EB6" w:rsidP="00FC4EB6">
      <w:pPr>
        <w:jc w:val="both"/>
        <w:rPr>
          <w:lang w:val="en"/>
        </w:rPr>
      </w:pPr>
      <w:r w:rsidRPr="00FC4EB6">
        <w:rPr>
          <w:rFonts w:cs="Arial"/>
          <w:sz w:val="23"/>
          <w:szCs w:val="23"/>
          <w:lang w:val="en"/>
        </w:rPr>
        <w:t xml:space="preserve">The </w:t>
      </w:r>
      <w:hyperlink r:id="rId9" w:history="1">
        <w:r w:rsidRPr="00FC4EB6">
          <w:rPr>
            <w:rStyle w:val="Hyperlink"/>
            <w:rFonts w:cs="Arial"/>
            <w:sz w:val="23"/>
            <w:szCs w:val="23"/>
            <w:lang w:val="en"/>
          </w:rPr>
          <w:t>Proposal</w:t>
        </w:r>
      </w:hyperlink>
      <w:r w:rsidRPr="00FC4EB6">
        <w:rPr>
          <w:rFonts w:cs="Arial"/>
          <w:sz w:val="23"/>
          <w:szCs w:val="23"/>
          <w:lang w:val="en"/>
        </w:rPr>
        <w:t xml:space="preserve"> on alignment of reporting obligations in the field of environment policy was </w:t>
      </w:r>
      <w:r w:rsidRPr="00FC4EB6">
        <w:rPr>
          <w:lang w:val="en"/>
        </w:rPr>
        <w:t xml:space="preserve">adopted on 21 May 2019. </w:t>
      </w:r>
    </w:p>
    <w:p w14:paraId="411A6DCF" w14:textId="77777777" w:rsidR="00FC4EB6" w:rsidRPr="00FC4EB6" w:rsidRDefault="00FC4EB6" w:rsidP="00FC4EB6">
      <w:pPr>
        <w:jc w:val="both"/>
        <w:rPr>
          <w:lang w:val="en"/>
        </w:rPr>
      </w:pPr>
      <w:r w:rsidRPr="00FC4EB6">
        <w:rPr>
          <w:lang w:val="en"/>
        </w:rPr>
        <w:t>The new rules on alignment of reporting obligations in the field of environment policy will cut red tape for administrations and simplify procedures for businesses involved in reporting and regulatory monitoring. In addition, policymakers will have access to higher quality information to support decisions, and citizens will have better access to information on important issues that affect them.</w:t>
      </w:r>
    </w:p>
    <w:p w14:paraId="2DF372CB" w14:textId="77777777" w:rsidR="00FC4EB6" w:rsidRPr="00FC4EB6" w:rsidRDefault="00FC4EB6" w:rsidP="00FC4EB6">
      <w:pPr>
        <w:jc w:val="both"/>
        <w:rPr>
          <w:lang w:val="en"/>
        </w:rPr>
      </w:pPr>
      <w:r w:rsidRPr="00FC4EB6">
        <w:rPr>
          <w:lang w:val="en"/>
        </w:rPr>
        <w:t>The new Regulation will be published in the EU's Official Journal and will enter into force on the following day, while some provisions will only be applicable as of 2020 and 2022.</w:t>
      </w:r>
    </w:p>
    <w:p w14:paraId="6F87B25B" w14:textId="77777777" w:rsidR="00FC4EB6" w:rsidRPr="00FC4EB6" w:rsidRDefault="00FC4EB6" w:rsidP="009F4FDA">
      <w:pPr>
        <w:pStyle w:val="NormalWeb"/>
        <w:spacing w:after="0" w:afterAutospacing="0"/>
        <w:rPr>
          <w:rFonts w:asciiTheme="minorHAnsi" w:hAnsiTheme="minorHAnsi" w:cs="Arial"/>
          <w:color w:val="auto"/>
          <w:sz w:val="23"/>
          <w:szCs w:val="23"/>
          <w:lang w:val="en"/>
        </w:rPr>
      </w:pPr>
      <w:r w:rsidRPr="00FC4EB6">
        <w:rPr>
          <w:rStyle w:val="Strong"/>
          <w:rFonts w:asciiTheme="minorHAnsi" w:hAnsiTheme="minorHAnsi" w:cs="Arial"/>
          <w:color w:val="404040"/>
          <w:sz w:val="23"/>
          <w:szCs w:val="23"/>
          <w:lang w:val="en"/>
        </w:rPr>
        <w:t>Background</w:t>
      </w:r>
    </w:p>
    <w:p w14:paraId="43D23A61" w14:textId="73F85805" w:rsidR="00FC4EB6" w:rsidRPr="00FC4EB6" w:rsidRDefault="00FC4EB6" w:rsidP="009F4FDA">
      <w:pPr>
        <w:pStyle w:val="NormalWeb"/>
        <w:spacing w:before="0" w:beforeAutospacing="0" w:after="0" w:afterAutospacing="0"/>
        <w:jc w:val="both"/>
        <w:rPr>
          <w:rFonts w:asciiTheme="minorHAnsi" w:hAnsiTheme="minorHAnsi" w:cs="Arial"/>
          <w:color w:val="auto"/>
          <w:sz w:val="22"/>
          <w:szCs w:val="22"/>
          <w:lang w:val="en"/>
        </w:rPr>
      </w:pPr>
      <w:r w:rsidRPr="00FC4EB6">
        <w:rPr>
          <w:rFonts w:asciiTheme="minorHAnsi" w:hAnsiTheme="minorHAnsi"/>
          <w:sz w:val="22"/>
          <w:szCs w:val="22"/>
          <w:lang w:val="en"/>
        </w:rPr>
        <w:t xml:space="preserve">The </w:t>
      </w:r>
      <w:r w:rsidRPr="00FC4EB6">
        <w:rPr>
          <w:rFonts w:asciiTheme="minorHAnsi" w:hAnsiTheme="minorHAnsi" w:cstheme="minorBidi"/>
          <w:color w:val="auto"/>
          <w:sz w:val="22"/>
          <w:szCs w:val="22"/>
          <w:lang w:val="en" w:eastAsia="en-US"/>
        </w:rPr>
        <w:t>proposal</w:t>
      </w:r>
      <w:r w:rsidRPr="00FC4EB6">
        <w:rPr>
          <w:rFonts w:asciiTheme="minorHAnsi" w:hAnsiTheme="minorHAnsi"/>
          <w:sz w:val="22"/>
          <w:szCs w:val="22"/>
          <w:lang w:val="en"/>
        </w:rPr>
        <w:t xml:space="preserve"> implements action 1 of the Fitness Check evaluation </w:t>
      </w:r>
      <w:hyperlink r:id="rId10" w:tgtFrame="_blank" w:history="1">
        <w:r w:rsidRPr="00FC4EB6">
          <w:rPr>
            <w:rStyle w:val="Hyperlink"/>
            <w:rFonts w:asciiTheme="minorHAnsi" w:hAnsiTheme="minorHAnsi"/>
            <w:sz w:val="22"/>
            <w:szCs w:val="22"/>
            <w:lang w:val="en"/>
          </w:rPr>
          <w:t>action plan</w:t>
        </w:r>
      </w:hyperlink>
      <w:r w:rsidRPr="00FC4EB6">
        <w:rPr>
          <w:rFonts w:asciiTheme="minorHAnsi" w:hAnsiTheme="minorHAnsi"/>
          <w:sz w:val="22"/>
          <w:szCs w:val="22"/>
          <w:lang w:val="en"/>
        </w:rPr>
        <w:t xml:space="preserve">. </w:t>
      </w:r>
      <w:r w:rsidRPr="00FC4EB6">
        <w:rPr>
          <w:rFonts w:asciiTheme="minorHAnsi" w:hAnsiTheme="minorHAnsi" w:cstheme="minorBidi"/>
          <w:color w:val="auto"/>
          <w:sz w:val="22"/>
          <w:szCs w:val="22"/>
          <w:lang w:val="en" w:eastAsia="en-US"/>
        </w:rPr>
        <w:t>This alignment proposal has been prepared on the basis of the evidence in the Fitness Check evaluation and other evaluations that were recently carried out on individual pieces of legislation. The alignment proposal’s objectives are to improve the evidence base for implementing EU policy, increase transparency for the public and simplify reporting with a view to reducing administrative burden. It covers 10 pieces of environmental legislation:</w:t>
      </w:r>
    </w:p>
    <w:p w14:paraId="731675AD" w14:textId="77777777" w:rsidR="00FC4EB6" w:rsidRPr="009F4FDA" w:rsidRDefault="00B85041" w:rsidP="000E1F5F">
      <w:pPr>
        <w:numPr>
          <w:ilvl w:val="0"/>
          <w:numId w:val="11"/>
        </w:numPr>
        <w:spacing w:before="0" w:after="100" w:afterAutospacing="1" w:line="240" w:lineRule="auto"/>
        <w:rPr>
          <w:rFonts w:cs="Arial"/>
          <w:color w:val="404040"/>
          <w:lang w:val="en"/>
        </w:rPr>
      </w:pPr>
      <w:hyperlink r:id="rId11" w:history="1">
        <w:r w:rsidR="00FC4EB6" w:rsidRPr="009F4FDA">
          <w:rPr>
            <w:rStyle w:val="Hyperlink"/>
            <w:rFonts w:cs="Arial"/>
            <w:lang w:val="en"/>
          </w:rPr>
          <w:t>Sewage Sludge Directive</w:t>
        </w:r>
      </w:hyperlink>
    </w:p>
    <w:p w14:paraId="3FAD50E7"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2" w:history="1">
        <w:r w:rsidR="00FC4EB6" w:rsidRPr="009F4FDA">
          <w:rPr>
            <w:rStyle w:val="Hyperlink"/>
            <w:rFonts w:cs="Arial"/>
            <w:lang w:val="en"/>
          </w:rPr>
          <w:t>Noise Directive</w:t>
        </w:r>
      </w:hyperlink>
    </w:p>
    <w:p w14:paraId="77058CB3"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3" w:history="1">
        <w:r w:rsidR="00FC4EB6" w:rsidRPr="009F4FDA">
          <w:rPr>
            <w:rStyle w:val="Hyperlink"/>
            <w:rFonts w:cs="Arial"/>
            <w:lang w:val="en"/>
          </w:rPr>
          <w:t>Infrastructure for Spatial Information in the European Community (INSPIRE) Directive</w:t>
        </w:r>
      </w:hyperlink>
    </w:p>
    <w:p w14:paraId="2AF3A69D"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4" w:history="1">
        <w:r w:rsidR="00FC4EB6" w:rsidRPr="009F4FDA">
          <w:rPr>
            <w:rStyle w:val="Hyperlink"/>
            <w:rFonts w:cs="Arial"/>
            <w:lang w:val="en"/>
          </w:rPr>
          <w:t>Birds Directive</w:t>
        </w:r>
      </w:hyperlink>
    </w:p>
    <w:p w14:paraId="604BAAFA"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5" w:history="1">
        <w:r w:rsidR="00FC4EB6" w:rsidRPr="009F4FDA">
          <w:rPr>
            <w:rStyle w:val="Hyperlink"/>
            <w:rFonts w:cs="Arial"/>
            <w:lang w:val="en"/>
          </w:rPr>
          <w:t>European Pollutant Release and Transfer Register (E-PRTR) Regulation</w:t>
        </w:r>
      </w:hyperlink>
    </w:p>
    <w:p w14:paraId="51EB1FC5"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6" w:history="1">
        <w:r w:rsidR="00FC4EB6" w:rsidRPr="009F4FDA">
          <w:rPr>
            <w:rStyle w:val="Hyperlink"/>
            <w:rFonts w:cs="Arial"/>
            <w:lang w:val="en"/>
          </w:rPr>
          <w:t>Animal Testing Directive</w:t>
        </w:r>
      </w:hyperlink>
    </w:p>
    <w:p w14:paraId="442EB86F"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7" w:history="1">
        <w:r w:rsidR="00FC4EB6" w:rsidRPr="009F4FDA">
          <w:rPr>
            <w:rStyle w:val="Hyperlink"/>
            <w:rFonts w:cs="Arial"/>
            <w:lang w:val="en"/>
          </w:rPr>
          <w:t>EU Timber Regulation</w:t>
        </w:r>
      </w:hyperlink>
    </w:p>
    <w:p w14:paraId="4F665B6E"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8" w:history="1">
        <w:r w:rsidR="00FC4EB6" w:rsidRPr="009F4FDA">
          <w:rPr>
            <w:rStyle w:val="Hyperlink"/>
            <w:rFonts w:cs="Arial"/>
            <w:lang w:val="en"/>
          </w:rPr>
          <w:t>Forest Law Enforcement, Governance and Trade (FLEGT) Regulation</w:t>
        </w:r>
      </w:hyperlink>
    </w:p>
    <w:p w14:paraId="24CE7463"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19" w:history="1">
        <w:r w:rsidR="00FC4EB6" w:rsidRPr="009F4FDA">
          <w:rPr>
            <w:rStyle w:val="Hyperlink"/>
            <w:rFonts w:cs="Arial"/>
            <w:lang w:val="en"/>
          </w:rPr>
          <w:t>Convention on the International Trade in Endangered Species of Wild Fauna and Flora (CITES) Regulation (EC)</w:t>
        </w:r>
      </w:hyperlink>
    </w:p>
    <w:p w14:paraId="1F53C33F" w14:textId="77777777" w:rsidR="00FC4EB6" w:rsidRPr="009F4FDA" w:rsidRDefault="00B85041" w:rsidP="000E1F5F">
      <w:pPr>
        <w:numPr>
          <w:ilvl w:val="0"/>
          <w:numId w:val="11"/>
        </w:numPr>
        <w:spacing w:before="100" w:beforeAutospacing="1" w:after="100" w:afterAutospacing="1" w:line="240" w:lineRule="auto"/>
        <w:rPr>
          <w:rFonts w:cs="Arial"/>
          <w:color w:val="404040"/>
          <w:lang w:val="en"/>
        </w:rPr>
      </w:pPr>
      <w:hyperlink r:id="rId20" w:history="1">
        <w:r w:rsidR="00FC4EB6" w:rsidRPr="009F4FDA">
          <w:rPr>
            <w:rStyle w:val="Hyperlink"/>
            <w:rFonts w:cs="Arial"/>
            <w:lang w:val="en"/>
          </w:rPr>
          <w:t>Environmental Liability Directive</w:t>
        </w:r>
      </w:hyperlink>
    </w:p>
    <w:p w14:paraId="1986EF49" w14:textId="6A091F25" w:rsidR="009F4FDA" w:rsidRPr="009F4FDA" w:rsidRDefault="009F4FDA" w:rsidP="009F4FDA">
      <w:pPr>
        <w:jc w:val="both"/>
        <w:rPr>
          <w:szCs w:val="24"/>
        </w:rPr>
      </w:pPr>
      <w:r w:rsidRPr="009F4FDA">
        <w:rPr>
          <w:lang w:val="en"/>
        </w:rPr>
        <w:t>For sev</w:t>
      </w:r>
      <w:r w:rsidRPr="009F4FDA">
        <w:rPr>
          <w:szCs w:val="24"/>
          <w:lang w:val="en"/>
        </w:rPr>
        <w:t>eral pieces of legislation, the reference of using INSPIRE in the monitoring and reporting process was introduced. In addition, t</w:t>
      </w:r>
      <w:r w:rsidRPr="009F4FDA">
        <w:rPr>
          <w:szCs w:val="24"/>
        </w:rPr>
        <w:t xml:space="preserve">he following changes to the INSPIRE Directive related to monitoring and reporting are </w:t>
      </w:r>
      <w:r>
        <w:rPr>
          <w:szCs w:val="24"/>
        </w:rPr>
        <w:t>introduced</w:t>
      </w:r>
      <w:r w:rsidRPr="009F4FDA">
        <w:rPr>
          <w:szCs w:val="24"/>
        </w:rPr>
        <w:t>:</w:t>
      </w:r>
    </w:p>
    <w:p w14:paraId="68968CA6" w14:textId="77777777" w:rsidR="009F4FDA" w:rsidRPr="009F4FDA" w:rsidRDefault="009F4FDA" w:rsidP="000E1F5F">
      <w:pPr>
        <w:pStyle w:val="ListParagraph"/>
        <w:numPr>
          <w:ilvl w:val="0"/>
          <w:numId w:val="6"/>
        </w:numPr>
        <w:jc w:val="both"/>
        <w:rPr>
          <w:szCs w:val="24"/>
        </w:rPr>
      </w:pPr>
      <w:r w:rsidRPr="009F4FDA">
        <w:rPr>
          <w:szCs w:val="24"/>
        </w:rPr>
        <w:t xml:space="preserve">Article 21 is amended as follows: </w:t>
      </w:r>
    </w:p>
    <w:p w14:paraId="729EA0EE" w14:textId="77777777" w:rsidR="009F4FDA" w:rsidRPr="009F4FDA" w:rsidRDefault="009F4FDA" w:rsidP="000E1F5F">
      <w:pPr>
        <w:pStyle w:val="ListParagraph"/>
        <w:numPr>
          <w:ilvl w:val="4"/>
          <w:numId w:val="5"/>
        </w:numPr>
        <w:jc w:val="both"/>
        <w:rPr>
          <w:szCs w:val="24"/>
        </w:rPr>
      </w:pPr>
      <w:r w:rsidRPr="009F4FDA">
        <w:rPr>
          <w:szCs w:val="24"/>
        </w:rPr>
        <w:t>in paragraph 2, the introductory sentence is replaced by the following: “No later than 31 March every year Member States shall update and publish their summary report. This report, which shall be made public by the Commission services assisted by the European Environment Agency, shall include summary descriptions of:";</w:t>
      </w:r>
    </w:p>
    <w:p w14:paraId="4A90C87D" w14:textId="77777777" w:rsidR="009F4FDA" w:rsidRPr="009F4FDA" w:rsidRDefault="009F4FDA" w:rsidP="000E1F5F">
      <w:pPr>
        <w:pStyle w:val="ListParagraph"/>
        <w:numPr>
          <w:ilvl w:val="4"/>
          <w:numId w:val="5"/>
        </w:numPr>
        <w:jc w:val="both"/>
        <w:rPr>
          <w:szCs w:val="24"/>
        </w:rPr>
      </w:pPr>
      <w:r w:rsidRPr="009F4FDA">
        <w:rPr>
          <w:szCs w:val="24"/>
        </w:rPr>
        <w:t xml:space="preserve">paragraph 3 of Article 21 is deleted; </w:t>
      </w:r>
    </w:p>
    <w:p w14:paraId="2F68512E" w14:textId="77777777" w:rsidR="009F4FDA" w:rsidRPr="009F4FDA" w:rsidRDefault="009F4FDA" w:rsidP="000E1F5F">
      <w:pPr>
        <w:pStyle w:val="ListParagraph"/>
        <w:numPr>
          <w:ilvl w:val="0"/>
          <w:numId w:val="6"/>
        </w:numPr>
        <w:jc w:val="both"/>
        <w:rPr>
          <w:szCs w:val="24"/>
        </w:rPr>
      </w:pPr>
      <w:r w:rsidRPr="009F4FDA">
        <w:rPr>
          <w:szCs w:val="24"/>
        </w:rPr>
        <w:lastRenderedPageBreak/>
        <w:t xml:space="preserve">Article 23 is replaced by the following:  </w:t>
      </w:r>
    </w:p>
    <w:p w14:paraId="4FFF2F85" w14:textId="77777777" w:rsidR="009F4FDA" w:rsidRPr="009F4FDA" w:rsidRDefault="009F4FDA" w:rsidP="009F4FDA">
      <w:pPr>
        <w:pStyle w:val="ListParagraph"/>
        <w:jc w:val="both"/>
        <w:rPr>
          <w:szCs w:val="24"/>
        </w:rPr>
      </w:pPr>
      <w:r w:rsidRPr="009F4FDA">
        <w:rPr>
          <w:szCs w:val="24"/>
        </w:rPr>
        <w:t xml:space="preserve">“The European Environment Agency shall publish and update annually the Union-wide overview on the basis of metadata and data made available by the Member States through network services in accordance with Article 21. The Union-wide overview shall include, as appropriate, indicators for outputs, results and impacts of this Directive, Union-wide overview maps and Member State overview reports. </w:t>
      </w:r>
    </w:p>
    <w:p w14:paraId="0BCEEB0B" w14:textId="77777777" w:rsidR="009F4FDA" w:rsidRPr="009F4FDA" w:rsidRDefault="009F4FDA" w:rsidP="009F4FDA">
      <w:pPr>
        <w:pStyle w:val="ListParagraph"/>
        <w:jc w:val="both"/>
        <w:rPr>
          <w:szCs w:val="24"/>
        </w:rPr>
      </w:pPr>
      <w:r w:rsidRPr="009F4FDA">
        <w:rPr>
          <w:szCs w:val="24"/>
        </w:rPr>
        <w:t xml:space="preserve">The Commission shall, at regular intervals, carry out an evaluation of this Directive. The evaluation shall be based, inter alia, on the following elements: </w:t>
      </w:r>
    </w:p>
    <w:p w14:paraId="1C1BC3CA" w14:textId="77777777" w:rsidR="009F4FDA" w:rsidRPr="0042763C" w:rsidRDefault="009F4FDA" w:rsidP="009F4FDA">
      <w:pPr>
        <w:pStyle w:val="ListParagraph"/>
        <w:jc w:val="both"/>
        <w:rPr>
          <w:sz w:val="20"/>
          <w:szCs w:val="24"/>
        </w:rPr>
      </w:pPr>
      <w:r w:rsidRPr="0042763C">
        <w:rPr>
          <w:sz w:val="20"/>
          <w:szCs w:val="24"/>
        </w:rPr>
        <w:t xml:space="preserve">(a) the experience gathered with the implementation of this Directive; </w:t>
      </w:r>
    </w:p>
    <w:p w14:paraId="7032D819" w14:textId="77777777" w:rsidR="009F4FDA" w:rsidRPr="0042763C" w:rsidRDefault="009F4FDA" w:rsidP="009F4FDA">
      <w:pPr>
        <w:pStyle w:val="ListParagraph"/>
        <w:jc w:val="both"/>
        <w:rPr>
          <w:sz w:val="20"/>
          <w:szCs w:val="24"/>
        </w:rPr>
      </w:pPr>
      <w:r w:rsidRPr="0042763C">
        <w:rPr>
          <w:sz w:val="20"/>
          <w:szCs w:val="24"/>
        </w:rPr>
        <w:t xml:space="preserve">(b) the information collected by Member States in accordance with Article 21 and the Union-wide overviews compiled by the European Environment Agency; </w:t>
      </w:r>
    </w:p>
    <w:p w14:paraId="4CBEE213" w14:textId="77777777" w:rsidR="009F4FDA" w:rsidRPr="0042763C" w:rsidRDefault="009F4FDA" w:rsidP="009F4FDA">
      <w:pPr>
        <w:pStyle w:val="ListParagraph"/>
        <w:jc w:val="both"/>
        <w:rPr>
          <w:sz w:val="20"/>
          <w:szCs w:val="24"/>
        </w:rPr>
      </w:pPr>
      <w:r w:rsidRPr="0042763C">
        <w:rPr>
          <w:sz w:val="20"/>
          <w:szCs w:val="24"/>
        </w:rPr>
        <w:t xml:space="preserve">(c) relevant scientific, analytical data; </w:t>
      </w:r>
    </w:p>
    <w:p w14:paraId="4D90A6AD" w14:textId="14774CC6" w:rsidR="009F4FDA" w:rsidRDefault="009F4FDA" w:rsidP="009F4FDA">
      <w:pPr>
        <w:pStyle w:val="ListParagraph"/>
        <w:jc w:val="both"/>
        <w:rPr>
          <w:szCs w:val="24"/>
        </w:rPr>
      </w:pPr>
      <w:r w:rsidRPr="0042763C">
        <w:rPr>
          <w:sz w:val="20"/>
          <w:szCs w:val="24"/>
        </w:rPr>
        <w:t>(d) other information including relevant scientific, analytical data required on the basis of the Better Regulation guidelines, in particular by relying on efficient and effective information management processes.</w:t>
      </w:r>
      <w:r w:rsidRPr="009F4FDA">
        <w:rPr>
          <w:szCs w:val="24"/>
        </w:rPr>
        <w:t>”.</w:t>
      </w:r>
    </w:p>
    <w:p w14:paraId="3FC8F20A" w14:textId="77777777" w:rsidR="009F4FDA" w:rsidRPr="009F4FDA" w:rsidRDefault="009F4FDA" w:rsidP="009F4FDA">
      <w:pPr>
        <w:pStyle w:val="ListParagraph"/>
        <w:jc w:val="both"/>
        <w:rPr>
          <w:szCs w:val="24"/>
        </w:rPr>
      </w:pPr>
    </w:p>
    <w:p w14:paraId="420C1F02" w14:textId="2A855239" w:rsidR="00BD6806" w:rsidRDefault="00BD6806" w:rsidP="00251ECB">
      <w:pPr>
        <w:pStyle w:val="Heading2"/>
      </w:pPr>
      <w:bookmarkStart w:id="3" w:name="_Toc11409469"/>
      <w:r>
        <w:t xml:space="preserve">INSPIRE &amp; </w:t>
      </w:r>
      <w:r w:rsidR="00251ECB">
        <w:t xml:space="preserve">streamlined </w:t>
      </w:r>
      <w:r>
        <w:t>e-Reporting</w:t>
      </w:r>
      <w:bookmarkEnd w:id="3"/>
    </w:p>
    <w:p w14:paraId="2712C6FF" w14:textId="77777777" w:rsidR="00BD6806" w:rsidRDefault="00BD6806" w:rsidP="00251ECB">
      <w:pPr>
        <w:pStyle w:val="Heading3"/>
      </w:pPr>
      <w:bookmarkStart w:id="4" w:name="_Toc11409470"/>
      <w:r w:rsidRPr="00881F08">
        <w:t>Environmental Noise Directive</w:t>
      </w:r>
      <w:bookmarkEnd w:id="4"/>
    </w:p>
    <w:p w14:paraId="1668EA19" w14:textId="281046B5" w:rsidR="00BD6806" w:rsidRDefault="00BD6806" w:rsidP="001E7FF1">
      <w:pPr>
        <w:jc w:val="both"/>
      </w:pPr>
      <w:r>
        <w:t xml:space="preserve">In the last </w:t>
      </w:r>
      <w:r w:rsidRPr="00696963">
        <w:t xml:space="preserve">NOISE REGULATORY COMMITTEE </w:t>
      </w:r>
      <w:r>
        <w:t xml:space="preserve">(25/09/2018) the progress on INSPIRE implementation for the priority eReporting use case in general and the NOISE Directive specifically was presented. An update of the high-level streamlining roadmap and future actions </w:t>
      </w:r>
      <w:r w:rsidR="001A1BB8">
        <w:t xml:space="preserve">to align </w:t>
      </w:r>
      <w:r w:rsidR="0042763C">
        <w:t xml:space="preserve">reporting under the Environmental Noise Directive and implementation of the INSPIRE Directive </w:t>
      </w:r>
      <w:r>
        <w:t>was presented and discussed</w:t>
      </w:r>
      <w:r w:rsidR="0042763C">
        <w:t xml:space="preserve">. </w:t>
      </w:r>
    </w:p>
    <w:p w14:paraId="51E9832B" w14:textId="5E30B891" w:rsidR="00BD6806" w:rsidRPr="00BB626B" w:rsidRDefault="0042763C" w:rsidP="00BD6806">
      <w:r>
        <w:rPr>
          <w:b/>
          <w:bCs/>
        </w:rPr>
        <w:t>Roadmap and s</w:t>
      </w:r>
      <w:r w:rsidR="001A1BB8">
        <w:rPr>
          <w:b/>
          <w:bCs/>
        </w:rPr>
        <w:t xml:space="preserve">tatus of </w:t>
      </w:r>
      <w:r>
        <w:rPr>
          <w:b/>
          <w:bCs/>
        </w:rPr>
        <w:t>p</w:t>
      </w:r>
      <w:r w:rsidR="001A1BB8">
        <w:rPr>
          <w:b/>
          <w:bCs/>
        </w:rPr>
        <w:t xml:space="preserve">lanned </w:t>
      </w:r>
      <w:r>
        <w:rPr>
          <w:b/>
          <w:bCs/>
        </w:rPr>
        <w:t>a</w:t>
      </w:r>
      <w:r w:rsidR="00BD6806" w:rsidRPr="00BB626B">
        <w:rPr>
          <w:b/>
          <w:bCs/>
        </w:rPr>
        <w:t>ctions</w:t>
      </w:r>
      <w:r w:rsidR="001A1BB8">
        <w:rPr>
          <w:b/>
          <w:bCs/>
        </w:rPr>
        <w:t xml:space="preserve"> </w:t>
      </w:r>
    </w:p>
    <w:p w14:paraId="0659EA68" w14:textId="77777777" w:rsidR="00BD6806" w:rsidRDefault="00BD6806" w:rsidP="000E1F5F">
      <w:pPr>
        <w:pStyle w:val="ListParagraph"/>
        <w:numPr>
          <w:ilvl w:val="0"/>
          <w:numId w:val="8"/>
        </w:numPr>
        <w:spacing w:before="120"/>
      </w:pPr>
      <w:r w:rsidRPr="00881F08">
        <w:t>Q3/18 – Q3/19: develop common reporting model and process aligned with Reportnet 3.0; address implementation gaps.</w:t>
      </w:r>
    </w:p>
    <w:p w14:paraId="0A7ED732" w14:textId="558F3AE4" w:rsidR="001A1BB8" w:rsidRDefault="001A1BB8" w:rsidP="000E1F5F">
      <w:pPr>
        <w:pStyle w:val="ListParagraph"/>
        <w:numPr>
          <w:ilvl w:val="1"/>
          <w:numId w:val="8"/>
        </w:numPr>
        <w:spacing w:before="120"/>
      </w:pPr>
      <w:r w:rsidRPr="001A1BB8">
        <w:rPr>
          <w:b/>
        </w:rPr>
        <w:t>Ongoing</w:t>
      </w:r>
      <w:r>
        <w:t xml:space="preserve">. A first draft model was presented </w:t>
      </w:r>
      <w:r w:rsidR="0042763C">
        <w:t xml:space="preserve">for discussion </w:t>
      </w:r>
      <w:r>
        <w:t xml:space="preserve">at the </w:t>
      </w:r>
      <w:r w:rsidRPr="001A1BB8">
        <w:t xml:space="preserve">EIONET-NRC meeting </w:t>
      </w:r>
      <w:r>
        <w:t xml:space="preserve">to </w:t>
      </w:r>
      <w:r w:rsidRPr="001A1BB8">
        <w:t xml:space="preserve">all the noise representatives from the EEA countries </w:t>
      </w:r>
      <w:r>
        <w:t xml:space="preserve">on </w:t>
      </w:r>
      <w:r w:rsidRPr="001A1BB8">
        <w:t>14-15 May.</w:t>
      </w:r>
      <w:r>
        <w:t xml:space="preserve"> </w:t>
      </w:r>
    </w:p>
    <w:p w14:paraId="3599130A" w14:textId="04FA1081" w:rsidR="001A1BB8" w:rsidRDefault="001A1BB8" w:rsidP="001A1BB8">
      <w:pPr>
        <w:spacing w:before="120"/>
        <w:jc w:val="center"/>
      </w:pPr>
      <w:r>
        <w:rPr>
          <w:noProof/>
          <w:lang w:eastAsia="en-GB"/>
        </w:rPr>
        <w:lastRenderedPageBreak/>
        <w:drawing>
          <wp:inline distT="0" distB="0" distL="0" distR="0" wp14:anchorId="185E249F" wp14:editId="2B69F673">
            <wp:extent cx="5401845" cy="303878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2830" cy="3056215"/>
                    </a:xfrm>
                    <a:prstGeom prst="rect">
                      <a:avLst/>
                    </a:prstGeom>
                    <a:noFill/>
                  </pic:spPr>
                </pic:pic>
              </a:graphicData>
            </a:graphic>
          </wp:inline>
        </w:drawing>
      </w:r>
    </w:p>
    <w:p w14:paraId="42824CD5" w14:textId="77777777" w:rsidR="00BD6806" w:rsidRPr="00881F08" w:rsidRDefault="00BD6806" w:rsidP="000E1F5F">
      <w:pPr>
        <w:pStyle w:val="ListParagraph"/>
        <w:numPr>
          <w:ilvl w:val="0"/>
          <w:numId w:val="8"/>
        </w:numPr>
        <w:spacing w:before="120"/>
      </w:pPr>
      <w:r w:rsidRPr="00881F08">
        <w:t>Q4/19 – Q4/20: common reporting model and process implementation by Member States (INSPIRE interoperability deadline in 2020)</w:t>
      </w:r>
    </w:p>
    <w:p w14:paraId="1BCA51EF" w14:textId="77777777" w:rsidR="00BD6806" w:rsidRPr="00881F08" w:rsidRDefault="00BD6806" w:rsidP="000E1F5F">
      <w:pPr>
        <w:pStyle w:val="ListParagraph"/>
        <w:numPr>
          <w:ilvl w:val="0"/>
          <w:numId w:val="8"/>
        </w:numPr>
        <w:spacing w:before="120"/>
      </w:pPr>
      <w:r w:rsidRPr="00881F08">
        <w:t>2021: Test e-reporting model &amp; process (MS/EEA/ENV)</w:t>
      </w:r>
    </w:p>
    <w:p w14:paraId="3BB60D66" w14:textId="77777777" w:rsidR="00BD6806" w:rsidRDefault="00BD6806" w:rsidP="000E1F5F">
      <w:pPr>
        <w:pStyle w:val="ListParagraph"/>
        <w:numPr>
          <w:ilvl w:val="0"/>
          <w:numId w:val="8"/>
        </w:numPr>
        <w:spacing w:before="120"/>
      </w:pPr>
      <w:r w:rsidRPr="00881F08">
        <w:t>2022: next NOISE reporting cycle - NOISE reporting and INSPIRE obligations aligned</w:t>
      </w:r>
    </w:p>
    <w:p w14:paraId="203C2392" w14:textId="77777777" w:rsidR="00D556EA" w:rsidRDefault="00D556EA" w:rsidP="00D556EA">
      <w:pPr>
        <w:pStyle w:val="Heading1"/>
      </w:pPr>
      <w:bookmarkStart w:id="5" w:name="_Toc11409471"/>
      <w:r>
        <w:t>Reportnet 3.0</w:t>
      </w:r>
      <w:bookmarkEnd w:id="5"/>
    </w:p>
    <w:p w14:paraId="3E2D6AD6" w14:textId="77777777" w:rsidR="00D556EA" w:rsidRDefault="00D556EA" w:rsidP="00D556EA">
      <w:pPr>
        <w:jc w:val="both"/>
      </w:pPr>
      <w:r>
        <w:t>To promote and modernise eReporting with the latest IT solutions, the EEA is working to develop Reportnet 3.0. This modern reporting infrastructure will integrate new ideas about reporting, take into account national capabilities and produce a platform that can support the new challenges in reporting for the future periods.</w:t>
      </w:r>
    </w:p>
    <w:p w14:paraId="186FAAA6" w14:textId="69861326" w:rsidR="00487A7D" w:rsidRDefault="00D556EA" w:rsidP="00487A7D">
      <w:pPr>
        <w:jc w:val="both"/>
      </w:pPr>
      <w:r>
        <w:t xml:space="preserve">The Reportnet 3.0 project has been initiated in 2018 to be finalized at the end of 2020. </w:t>
      </w:r>
      <w:r w:rsidR="00487A7D">
        <w:t xml:space="preserve">After the planning phase concluded late 2018, the execution phase is focussing on design and development of the modernised platform and started in the beginning of 2019 as scheduled. </w:t>
      </w:r>
      <w:r w:rsidR="00487A7D" w:rsidRPr="000F77E2">
        <w:t xml:space="preserve">The activities regarding the design and development will run </w:t>
      </w:r>
      <w:r w:rsidR="00487A7D">
        <w:t>under</w:t>
      </w:r>
      <w:r w:rsidR="00487A7D" w:rsidRPr="000F77E2">
        <w:t xml:space="preserve"> the framework contract signed o</w:t>
      </w:r>
      <w:r w:rsidR="00487A7D">
        <w:t>n January 2019 with the awarded</w:t>
      </w:r>
      <w:r w:rsidR="00487A7D" w:rsidRPr="000F77E2">
        <w:t xml:space="preserve"> company, </w:t>
      </w:r>
      <w:r w:rsidR="00487A7D">
        <w:t xml:space="preserve">the </w:t>
      </w:r>
      <w:r w:rsidR="00487A7D" w:rsidRPr="000F77E2">
        <w:t>Tracasa/Altia consortium</w:t>
      </w:r>
      <w:r w:rsidR="00487A7D">
        <w:t xml:space="preserve"> from Spain</w:t>
      </w:r>
      <w:r w:rsidR="00487A7D" w:rsidRPr="000F77E2">
        <w:t xml:space="preserve">. </w:t>
      </w:r>
    </w:p>
    <w:p w14:paraId="0EF26BAA" w14:textId="77777777" w:rsidR="00487A7D" w:rsidRDefault="00487A7D" w:rsidP="00487A7D">
      <w:r>
        <w:t>In the first months of 2019, the technical architecture was designed and the user stories were outlined in accordance with the DG Environment 10 step guidance (Vademecum for Streamlining Environmental Reporting) to describe how each Reportnet 3.0 user (data provider/reporter, data custodian, helpdesk) interacts with the system. These activities defined the features and functionalities of the system that needs to be developed.</w:t>
      </w:r>
    </w:p>
    <w:p w14:paraId="05190592" w14:textId="68FBD3C2" w:rsidR="00487A7D" w:rsidRDefault="00487A7D" w:rsidP="00487A7D">
      <w:r>
        <w:t xml:space="preserve">As of May 2019, the concrete software development activities are kicked-off. The progress regarding the development will be presented in the demo, beta and first candidate releases scheduled for the end of June, September and December 2019 respectively. The demo version of Reportnet 3.0 will </w:t>
      </w:r>
      <w:r>
        <w:lastRenderedPageBreak/>
        <w:t>include simple features of the system, whereas the beta version will demonstrate the implementation of two selected pilot data flows and highlight the benefit of Reportnet 3.0 over the existing system: higher performance and stability; decreased burden in data delivery; timelier and, higher quality data and reduced manual intervention for reporters.</w:t>
      </w:r>
    </w:p>
    <w:p w14:paraId="2BF756FB" w14:textId="1E7D8EFB" w:rsidR="00487A7D" w:rsidRDefault="00487A7D" w:rsidP="00487A7D">
      <w:r>
        <w:t xml:space="preserve">In the meantime, the Reporting Obligations Database (ROD) will be upgraded with associated Reportnet 3.0 features (View Obligation Details, Search and Find Obligations, View lists of Obligations) and a new version of the United Notification System (UNS) will be developed by the end of October. </w:t>
      </w:r>
    </w:p>
    <w:p w14:paraId="4AD0A3B7" w14:textId="6FA480EC" w:rsidR="00487A7D" w:rsidRDefault="00487A7D" w:rsidP="00487A7D">
      <w:r>
        <w:t xml:space="preserve">The project to deliver the initial Reportnet 3.0 system is expected to run until the end of 2020. </w:t>
      </w:r>
      <w:r w:rsidRPr="00EB5D1D">
        <w:t>The migration of the reported data will start during this time and continue together with further system development</w:t>
      </w:r>
      <w:r>
        <w:t>s</w:t>
      </w:r>
      <w:r w:rsidRPr="00EB5D1D">
        <w:t xml:space="preserve"> beyond the duration of this project.</w:t>
      </w:r>
    </w:p>
    <w:p w14:paraId="412576BA" w14:textId="77777777" w:rsidR="00487A7D" w:rsidRDefault="00487A7D" w:rsidP="00487A7D">
      <w:r w:rsidRPr="00EB5D1D">
        <w:t>The final deliverables and</w:t>
      </w:r>
      <w:r>
        <w:t xml:space="preserve"> the</w:t>
      </w:r>
      <w:r w:rsidRPr="00EB5D1D">
        <w:t xml:space="preserve"> communication material produced under the </w:t>
      </w:r>
      <w:r>
        <w:t>project</w:t>
      </w:r>
      <w:r w:rsidRPr="00EB5D1D">
        <w:t xml:space="preserve"> are publicly available from this link: </w:t>
      </w:r>
      <w:hyperlink r:id="rId22" w:history="1">
        <w:r w:rsidRPr="003B509A">
          <w:rPr>
            <w:rStyle w:val="Hyperlink"/>
          </w:rPr>
          <w:t>https://projects.eionet.europa.eu/reportnet-3.0-project-public</w:t>
        </w:r>
      </w:hyperlink>
      <w:r>
        <w:t xml:space="preserve"> </w:t>
      </w:r>
    </w:p>
    <w:p w14:paraId="31B08972" w14:textId="0D091F7F" w:rsidR="009E21DF" w:rsidRDefault="00C32D31" w:rsidP="00070D9E">
      <w:pPr>
        <w:pStyle w:val="Heading1"/>
      </w:pPr>
      <w:bookmarkStart w:id="6" w:name="_Toc11409472"/>
      <w:r>
        <w:t>Study on improving national environmental information and data harvesting</w:t>
      </w:r>
      <w:bookmarkEnd w:id="6"/>
    </w:p>
    <w:p w14:paraId="6C8BAE1A" w14:textId="08848340" w:rsidR="007B206A" w:rsidRPr="009F4FDA" w:rsidRDefault="007B206A" w:rsidP="009F4FDA">
      <w:pPr>
        <w:spacing w:before="0"/>
        <w:rPr>
          <w:rFonts w:cs="Segoe UI"/>
        </w:rPr>
      </w:pPr>
      <w:r w:rsidRPr="009F4FDA">
        <w:rPr>
          <w:rFonts w:cs="Segoe UI"/>
        </w:rPr>
        <w:t xml:space="preserve">The Commission launched a service request for the promotion of best practices for national environmental information systems and tools for data harvesting. The project </w:t>
      </w:r>
      <w:r w:rsidR="006E267F">
        <w:rPr>
          <w:rFonts w:cs="Segoe UI"/>
        </w:rPr>
        <w:t>was</w:t>
      </w:r>
      <w:r w:rsidRPr="009F4FDA">
        <w:rPr>
          <w:rFonts w:cs="Segoe UI"/>
        </w:rPr>
        <w:t xml:space="preserve"> carried out by a Consortium of Consultants led by Wageningen University and Research (the Project Consortium) and will be concluded </w:t>
      </w:r>
      <w:r w:rsidR="009F4FDA" w:rsidRPr="009F4FDA">
        <w:rPr>
          <w:rFonts w:cs="Segoe UI"/>
        </w:rPr>
        <w:t xml:space="preserve">end of June </w:t>
      </w:r>
      <w:r w:rsidRPr="009F4FDA">
        <w:rPr>
          <w:rFonts w:cs="Segoe UI"/>
        </w:rPr>
        <w:t xml:space="preserve">2019 (see www.eis-data.eu): </w:t>
      </w:r>
    </w:p>
    <w:p w14:paraId="45A31A4D" w14:textId="77777777" w:rsidR="007B206A" w:rsidRPr="009F4FDA" w:rsidRDefault="007B206A" w:rsidP="000E1F5F">
      <w:pPr>
        <w:pStyle w:val="ListParagraph"/>
        <w:numPr>
          <w:ilvl w:val="0"/>
          <w:numId w:val="10"/>
        </w:numPr>
        <w:spacing w:before="0"/>
        <w:rPr>
          <w:rFonts w:cs="Segoe UI"/>
        </w:rPr>
      </w:pPr>
      <w:r w:rsidRPr="009F4FDA">
        <w:rPr>
          <w:rFonts w:cs="Segoe UI"/>
        </w:rPr>
        <w:t>The Project Consortium organised three workshops with stakeholders on Environmental Information Systems (EIS).</w:t>
      </w:r>
    </w:p>
    <w:p w14:paraId="1D34C362" w14:textId="77777777" w:rsidR="007B206A" w:rsidRPr="009F4FDA" w:rsidRDefault="007B206A" w:rsidP="000E1F5F">
      <w:pPr>
        <w:pStyle w:val="ListParagraph"/>
        <w:numPr>
          <w:ilvl w:val="0"/>
          <w:numId w:val="10"/>
        </w:numPr>
        <w:spacing w:before="0"/>
        <w:rPr>
          <w:rFonts w:cs="Segoe UI"/>
        </w:rPr>
      </w:pPr>
      <w:r w:rsidRPr="009F4FDA">
        <w:rPr>
          <w:rFonts w:cs="Segoe UI"/>
        </w:rPr>
        <w:t>The Project Consortium compiled an overview of the accessibility of environmental information through existing environmental information portals in each Member State based on four selected criteria: content, data sharing, usability and governance.</w:t>
      </w:r>
    </w:p>
    <w:p w14:paraId="0C383E0D" w14:textId="77777777" w:rsidR="007B206A" w:rsidRPr="009F4FDA" w:rsidRDefault="007B206A" w:rsidP="000E1F5F">
      <w:pPr>
        <w:pStyle w:val="ListParagraph"/>
        <w:numPr>
          <w:ilvl w:val="0"/>
          <w:numId w:val="10"/>
        </w:numPr>
        <w:spacing w:before="0"/>
        <w:rPr>
          <w:rFonts w:cs="Segoe UI"/>
        </w:rPr>
      </w:pPr>
      <w:r w:rsidRPr="009F4FDA">
        <w:rPr>
          <w:rFonts w:cs="Segoe UI"/>
        </w:rPr>
        <w:t>There were three tasks involved, linked to Actions 4 and 5 of the Action Plan:</w:t>
      </w:r>
    </w:p>
    <w:p w14:paraId="64B13C15" w14:textId="77777777" w:rsidR="007B206A" w:rsidRPr="009F4FDA" w:rsidRDefault="007B206A" w:rsidP="000E1F5F">
      <w:pPr>
        <w:pStyle w:val="ListParagraph"/>
        <w:numPr>
          <w:ilvl w:val="1"/>
          <w:numId w:val="10"/>
        </w:numPr>
        <w:spacing w:before="0"/>
        <w:rPr>
          <w:rFonts w:cs="Segoe UI"/>
        </w:rPr>
      </w:pPr>
      <w:r w:rsidRPr="009F4FDA">
        <w:rPr>
          <w:rFonts w:cs="Segoe UI"/>
        </w:rPr>
        <w:t>Task 1 covered the mapping of the national environmental information systems, development of criteria to assess these and the drafting of guidance on best practices, including recommendations on active dissemination of environmental information.</w:t>
      </w:r>
    </w:p>
    <w:p w14:paraId="7E5AD6C7" w14:textId="77777777" w:rsidR="007B206A" w:rsidRPr="009F4FDA" w:rsidRDefault="007B206A" w:rsidP="000E1F5F">
      <w:pPr>
        <w:pStyle w:val="ListParagraph"/>
        <w:numPr>
          <w:ilvl w:val="1"/>
          <w:numId w:val="10"/>
        </w:numPr>
        <w:spacing w:before="0"/>
        <w:rPr>
          <w:rFonts w:cs="Segoe UI"/>
        </w:rPr>
      </w:pPr>
      <w:r w:rsidRPr="009F4FDA">
        <w:rPr>
          <w:rFonts w:cs="Segoe UI"/>
        </w:rPr>
        <w:t>Task 2 aimed to address the topic of harvesting by exploring the available technologies and drafting a roadmap and recommendations on how reporting can use this concept.</w:t>
      </w:r>
    </w:p>
    <w:p w14:paraId="7DEE98BC" w14:textId="77777777" w:rsidR="007B206A" w:rsidRPr="009F4FDA" w:rsidRDefault="007B206A" w:rsidP="000E1F5F">
      <w:pPr>
        <w:pStyle w:val="ListParagraph"/>
        <w:numPr>
          <w:ilvl w:val="1"/>
          <w:numId w:val="10"/>
        </w:numPr>
        <w:spacing w:before="0"/>
        <w:rPr>
          <w:rFonts w:cs="Segoe UI"/>
        </w:rPr>
      </w:pPr>
      <w:r w:rsidRPr="009F4FDA">
        <w:rPr>
          <w:rFonts w:cs="Segoe UI"/>
        </w:rPr>
        <w:t>Task 3 included developing a demonstrator tool to test the concept of modernizing reporting by linking harvesting technologies with the publicly available data on national portals and pointing out current challenges and opportunities in a feasibility study.</w:t>
      </w:r>
    </w:p>
    <w:p w14:paraId="049A9E88" w14:textId="7348E49F" w:rsidR="00261C9A" w:rsidRDefault="00261C9A" w:rsidP="00261C9A">
      <w:pPr>
        <w:jc w:val="both"/>
      </w:pPr>
      <w:r>
        <w:lastRenderedPageBreak/>
        <w:t xml:space="preserve">The project overall confirmed the premises at the beginning that there is an enormous amount of environmental information available in the Member States which can potentially be used for harvesting purposes. </w:t>
      </w:r>
      <w:r w:rsidRPr="00227942">
        <w:t xml:space="preserve">Technology is not the </w:t>
      </w:r>
      <w:r>
        <w:t xml:space="preserve">main </w:t>
      </w:r>
      <w:r w:rsidRPr="00227942">
        <w:t>barrier</w:t>
      </w:r>
      <w:r>
        <w:t>. Instead</w:t>
      </w:r>
      <w:r w:rsidRPr="00227942">
        <w:t xml:space="preserve">, </w:t>
      </w:r>
      <w:r>
        <w:t>d</w:t>
      </w:r>
      <w:r w:rsidRPr="00227942">
        <w:t>ata governance</w:t>
      </w:r>
      <w:r>
        <w:t>,</w:t>
      </w:r>
      <w:r w:rsidRPr="00227942">
        <w:t xml:space="preserve"> knowledge</w:t>
      </w:r>
      <w:r>
        <w:t>, capacities</w:t>
      </w:r>
      <w:r w:rsidRPr="00227942">
        <w:t xml:space="preserve"> and resources</w:t>
      </w:r>
      <w:r>
        <w:t xml:space="preserve"> vary widely between Member States and often prevent the effective sharing and re-using of environmental information.  </w:t>
      </w:r>
    </w:p>
    <w:p w14:paraId="1EE6BE10" w14:textId="5846622D" w:rsidR="00A93151" w:rsidRDefault="00A93151" w:rsidP="00A93151">
      <w:r>
        <w:t xml:space="preserve">One of the key results of the project to promote good practices </w:t>
      </w:r>
      <w:r w:rsidR="006E267F">
        <w:t xml:space="preserve">will be the guidance document that provides good practices for setting up </w:t>
      </w:r>
      <w:r>
        <w:t>and improv</w:t>
      </w:r>
      <w:r w:rsidR="006E267F">
        <w:t>ing</w:t>
      </w:r>
      <w:r>
        <w:t xml:space="preserve"> the dissemination of environmental information and data through EISs. </w:t>
      </w:r>
    </w:p>
    <w:p w14:paraId="4244ED41" w14:textId="664C763F" w:rsidR="00C32D31" w:rsidRDefault="00C32D31" w:rsidP="00C32D31">
      <w:pPr>
        <w:pStyle w:val="Heading1"/>
      </w:pPr>
      <w:bookmarkStart w:id="7" w:name="_Toc11409473"/>
      <w:r>
        <w:t>Study of INSPIRE data sharing, access and use (Art. 17 and related provisions)</w:t>
      </w:r>
      <w:bookmarkEnd w:id="7"/>
    </w:p>
    <w:p w14:paraId="5A7575B3" w14:textId="77B67222" w:rsidR="00513F3E" w:rsidRDefault="00513F3E" w:rsidP="00513F3E">
      <w:pPr>
        <w:spacing w:line="240" w:lineRule="auto"/>
        <w:jc w:val="both"/>
      </w:pPr>
      <w:r>
        <w:t>To evaluate the shortcomings of the national data policies in relation to Article 17 of the Directive in more detail, the Commission has launched a study for the “Evaluation and assessment of INSPIRE Directive 2007/2/EC data sharing between public authorities and public access and use provisions”.  The final deliverables of this study are expected by end of June 2019.</w:t>
      </w:r>
    </w:p>
    <w:p w14:paraId="6E02750C" w14:textId="35AD1A8B" w:rsidR="0006492A" w:rsidRPr="004819F3" w:rsidRDefault="00513F3E" w:rsidP="00513F3E">
      <w:pPr>
        <w:spacing w:line="240" w:lineRule="auto"/>
        <w:jc w:val="both"/>
      </w:pPr>
      <w:r>
        <w:t xml:space="preserve">Preliminary outcomes of the study show that additional efforts are needed to further harmonise data policies and licenses for data reuse in the Member states. Benefits can be expected from further aligning Article 17 on data sharing of the INSPIRE Directive with the new Directive on Open Data and on the re-use of public sector information.    </w:t>
      </w:r>
    </w:p>
    <w:p w14:paraId="0C3F9B95" w14:textId="2C079A5E" w:rsidR="00C32D31" w:rsidRDefault="00D21695" w:rsidP="00C32D31">
      <w:pPr>
        <w:pStyle w:val="Heading1"/>
      </w:pPr>
      <w:bookmarkStart w:id="8" w:name="_Toc11409474"/>
      <w:r>
        <w:t xml:space="preserve">Copernicus </w:t>
      </w:r>
      <w:r w:rsidR="002A554D">
        <w:t xml:space="preserve">in-situ and INSPIRE </w:t>
      </w:r>
      <w:r>
        <w:t>– latest developments</w:t>
      </w:r>
      <w:bookmarkEnd w:id="8"/>
    </w:p>
    <w:p w14:paraId="77EBA3F3" w14:textId="5D17164B" w:rsidR="002A554D" w:rsidRDefault="002A554D" w:rsidP="002A554D">
      <w:r>
        <w:t>As entrusted entity for the Copernicus in-situ component, EEA is working on locating downloadable and harmonised INSPIRE compliant Hydrography (HY) and Buildings (BU) spatial datasets in response to Copernicus requirements. The work is focused on priority countries identified by the Copernicus Emergency Management Service and EU28 Member States in general, and the goal is to construct and maintain so-called multi-country data sets for use primarily by Copernicus Services.   </w:t>
      </w:r>
    </w:p>
    <w:p w14:paraId="77ECC83E" w14:textId="6F69724A" w:rsidR="002A554D" w:rsidRDefault="002A554D" w:rsidP="002A554D">
      <w:r>
        <w:t xml:space="preserve">The HY and BU data models and necessary processing steps to ingest both INSPIRE compliant and non-compliant ‘almost INSPIRE’ data into a simplified ‘multi-country’ spatial database have been developed and testing is </w:t>
      </w:r>
      <w:r w:rsidR="00E62225">
        <w:t>on-going</w:t>
      </w:r>
      <w:r>
        <w:t>.</w:t>
      </w:r>
    </w:p>
    <w:p w14:paraId="461DF1A7" w14:textId="418272A9" w:rsidR="002A554D" w:rsidRDefault="002A554D" w:rsidP="002A554D">
      <w:r>
        <w:t xml:space="preserve">As regards the Copernicus Reference Data Access Portal (CORDA), at the end of first quarter 2019, more than 2200 links to geospatial data sets from 257 national and regional data providers were available for use by the Copernicus Services. This content of the portal is based on the needs expressed by the Copernicus services. Due to national data polices, some data is only available to Copernicus services. News about CORDA are regularly updated at </w:t>
      </w:r>
      <w:hyperlink r:id="rId23" w:history="1">
        <w:r>
          <w:rPr>
            <w:rStyle w:val="Hyperlink"/>
          </w:rPr>
          <w:t>https://corda.eea.europa.eu/_layouts/15/CORDANews/CORDANews.aspx</w:t>
        </w:r>
      </w:hyperlink>
      <w:r>
        <w:t xml:space="preserve"> . General news about the in-situ service are published at </w:t>
      </w:r>
      <w:hyperlink r:id="rId24" w:history="1">
        <w:r>
          <w:rPr>
            <w:rStyle w:val="Hyperlink"/>
          </w:rPr>
          <w:t>https://insitu.copernicus.eu/news</w:t>
        </w:r>
      </w:hyperlink>
      <w:r>
        <w:t>.</w:t>
      </w:r>
    </w:p>
    <w:p w14:paraId="584F6044" w14:textId="0E9B2F91" w:rsidR="00D556EA" w:rsidRPr="00D556EA" w:rsidRDefault="00D556EA" w:rsidP="00D556EA">
      <w:pPr>
        <w:pStyle w:val="Heading1"/>
      </w:pPr>
      <w:bookmarkStart w:id="9" w:name="_Toc11409475"/>
      <w:r w:rsidRPr="00D556EA">
        <w:lastRenderedPageBreak/>
        <w:t>Overview and main conclusion from the 2019 Monitoring &amp; Reporting exercise</w:t>
      </w:r>
      <w:bookmarkEnd w:id="9"/>
    </w:p>
    <w:p w14:paraId="1490E802" w14:textId="714B4818" w:rsidR="000B5F02" w:rsidRDefault="000B5F02" w:rsidP="000B5F02">
      <w:pPr>
        <w:spacing w:line="240" w:lineRule="auto"/>
        <w:jc w:val="both"/>
      </w:pPr>
      <w:r>
        <w:t>By</w:t>
      </w:r>
      <w:r w:rsidRPr="00070A34">
        <w:t xml:space="preserve"> 15 May 201</w:t>
      </w:r>
      <w:r>
        <w:t>9</w:t>
      </w:r>
      <w:r w:rsidRPr="00070A34">
        <w:t xml:space="preserve"> Member States were due to submit their annual INSPIRE monitoring information, with reference year 201</w:t>
      </w:r>
      <w:r>
        <w:t>8, and the tri-annual</w:t>
      </w:r>
      <w:r w:rsidRPr="00070A34">
        <w:t xml:space="preserve"> </w:t>
      </w:r>
      <w:r>
        <w:t xml:space="preserve">implementation report (i.e. updated country fiches), </w:t>
      </w:r>
      <w:r w:rsidRPr="00070A34">
        <w:t>in pursuance of the art. 21 of the INSPIRE Directive and the Commission Decision No 2009/442 as regards monitoring and reporting</w:t>
      </w:r>
      <w:r>
        <w:t>. The amended INSPIRE Directive</w:t>
      </w:r>
      <w:r w:rsidR="009273F8">
        <w:t xml:space="preserve">, with </w:t>
      </w:r>
      <w:r w:rsidR="0075364F">
        <w:t>its</w:t>
      </w:r>
      <w:r w:rsidR="009273F8">
        <w:t xml:space="preserve"> </w:t>
      </w:r>
      <w:r w:rsidR="0075364F">
        <w:t>updated</w:t>
      </w:r>
      <w:r w:rsidR="009273F8">
        <w:t xml:space="preserve"> art. 21,</w:t>
      </w:r>
      <w:r>
        <w:t xml:space="preserve"> and</w:t>
      </w:r>
      <w:r w:rsidR="009273F8">
        <w:t xml:space="preserve"> </w:t>
      </w:r>
      <w:r w:rsidR="0075364F">
        <w:t xml:space="preserve">the </w:t>
      </w:r>
      <w:r w:rsidR="009273F8">
        <w:t>subsequent</w:t>
      </w:r>
      <w:r>
        <w:t xml:space="preserve"> revision of the Monitoring and Reporting Decision </w:t>
      </w:r>
      <w:r w:rsidR="001F6527">
        <w:t>are</w:t>
      </w:r>
      <w:r>
        <w:t xml:space="preserve"> only expected to enter into force in June 2019, so the previous provisions still applied by the referred May deadline</w:t>
      </w:r>
      <w:r w:rsidRPr="00070A34">
        <w:t>.</w:t>
      </w:r>
      <w:r>
        <w:t xml:space="preserve"> </w:t>
      </w:r>
    </w:p>
    <w:p w14:paraId="16215C23" w14:textId="77777777" w:rsidR="000B5F02" w:rsidRPr="00070A34" w:rsidRDefault="000B5F02" w:rsidP="000B5F02">
      <w:pPr>
        <w:spacing w:line="240" w:lineRule="auto"/>
        <w:jc w:val="both"/>
      </w:pPr>
      <w:r>
        <w:t xml:space="preserve">As in the last monitoring round, </w:t>
      </w:r>
      <w:r w:rsidRPr="00070A34">
        <w:t>a Reporter Guidance Document</w:t>
      </w:r>
      <w:r>
        <w:rPr>
          <w:rStyle w:val="FootnoteReference"/>
        </w:rPr>
        <w:footnoteReference w:id="1"/>
      </w:r>
      <w:r>
        <w:t xml:space="preserve"> was provided </w:t>
      </w:r>
      <w:r w:rsidRPr="00070A34">
        <w:t>to guide INSPIRE reporter</w:t>
      </w:r>
      <w:r>
        <w:t>s</w:t>
      </w:r>
      <w:r w:rsidRPr="00070A34">
        <w:t xml:space="preserve"> through the different systems</w:t>
      </w:r>
      <w:r>
        <w:t xml:space="preserve"> during this year’s monitoring and reporting exercise together.  </w:t>
      </w:r>
    </w:p>
    <w:p w14:paraId="18D8622A" w14:textId="77777777" w:rsidR="000B5F02" w:rsidRPr="00D6234A" w:rsidRDefault="000B5F02" w:rsidP="000B5F02">
      <w:pPr>
        <w:spacing w:line="240" w:lineRule="auto"/>
        <w:jc w:val="both"/>
        <w:rPr>
          <w:b/>
        </w:rPr>
      </w:pPr>
      <w:r>
        <w:rPr>
          <w:b/>
        </w:rPr>
        <w:t>Annual monitoring obligation</w:t>
      </w:r>
    </w:p>
    <w:p w14:paraId="403AA89E" w14:textId="0B4D280D" w:rsidR="000B5F02" w:rsidRPr="00070A34" w:rsidRDefault="000B5F02" w:rsidP="000B5F02">
      <w:pPr>
        <w:spacing w:line="240" w:lineRule="auto"/>
        <w:jc w:val="both"/>
      </w:pPr>
      <w:r w:rsidRPr="00070A34">
        <w:t xml:space="preserve">Since 2013 the </w:t>
      </w:r>
      <w:r>
        <w:t xml:space="preserve">annual </w:t>
      </w:r>
      <w:r w:rsidRPr="00070A34">
        <w:t xml:space="preserve">INSPIRE monitoring information </w:t>
      </w:r>
      <w:r>
        <w:t>has been</w:t>
      </w:r>
      <w:r w:rsidRPr="00070A34">
        <w:t xml:space="preserve"> formally submitted through </w:t>
      </w:r>
      <w:r w:rsidRPr="00070A34">
        <w:rPr>
          <w:bCs/>
        </w:rPr>
        <w:t>Reportnet</w:t>
      </w:r>
      <w:r w:rsidRPr="00070A34">
        <w:rPr>
          <w:rStyle w:val="FootnoteReference"/>
          <w:bCs/>
        </w:rPr>
        <w:footnoteReference w:id="2"/>
      </w:r>
      <w:r w:rsidRPr="00070A34">
        <w:t xml:space="preserve">, the EEA’s electronic infrastructure for data collection. Reportnet provides online questionnaires (web forms) to help INSPIRE National Reporters to create, modify, save and modify the monitoring file. Member States </w:t>
      </w:r>
      <w:r>
        <w:t>were</w:t>
      </w:r>
      <w:r w:rsidRPr="00070A34">
        <w:t xml:space="preserve"> also encouraged to use the INSPIRE dashboard sandbox</w:t>
      </w:r>
      <w:r w:rsidRPr="00070A34">
        <w:rPr>
          <w:rStyle w:val="FootnoteReference"/>
        </w:rPr>
        <w:footnoteReference w:id="3"/>
      </w:r>
      <w:r w:rsidRPr="00070A34">
        <w:t xml:space="preserve"> to harvest the content of their national catalogues, validate their results and create automatically a compliant INSPIRE monitoring file to be then uploaded in Reportnet. This sandbox functionality is restricted to the national INSPIRE reporters</w:t>
      </w:r>
      <w:r>
        <w:t xml:space="preserve"> and is used by a significant number of countries</w:t>
      </w:r>
      <w:r w:rsidRPr="00070A34">
        <w:t>.</w:t>
      </w:r>
      <w:r w:rsidR="009273F8">
        <w:t xml:space="preserve"> During the preparation and submission process, which lasted a couple of months (March to May 2019), the EEA provided support to </w:t>
      </w:r>
      <w:r w:rsidR="0075364F">
        <w:t xml:space="preserve">many </w:t>
      </w:r>
      <w:r w:rsidR="009273F8">
        <w:t xml:space="preserve">Member State national reporters both in the process of harvesting their catalogue records and in the creation of a valid monitoring file. </w:t>
      </w:r>
    </w:p>
    <w:p w14:paraId="6D66423F" w14:textId="5594570D" w:rsidR="009273F8" w:rsidRDefault="009273F8" w:rsidP="000B5F02">
      <w:pPr>
        <w:spacing w:line="240" w:lineRule="auto"/>
        <w:jc w:val="both"/>
      </w:pPr>
      <w:r>
        <w:t>A</w:t>
      </w:r>
      <w:r w:rsidR="000B5F02" w:rsidRPr="00070A34">
        <w:t>ll EU countries formally submitted their monitoring file</w:t>
      </w:r>
      <w:r>
        <w:t xml:space="preserve"> in time</w:t>
      </w:r>
      <w:r w:rsidR="000B5F02">
        <w:t xml:space="preserve">. </w:t>
      </w:r>
      <w:r w:rsidR="000B5F02" w:rsidRPr="00070A34">
        <w:t xml:space="preserve">All the monitoring files </w:t>
      </w:r>
      <w:r w:rsidR="001F6527">
        <w:t>were</w:t>
      </w:r>
      <w:r w:rsidR="000B5F02" w:rsidRPr="00070A34">
        <w:t xml:space="preserve"> </w:t>
      </w:r>
      <w:r>
        <w:t xml:space="preserve">subsequently </w:t>
      </w:r>
      <w:r w:rsidR="000B5F02" w:rsidRPr="00070A34">
        <w:t>uploaded</w:t>
      </w:r>
      <w:r w:rsidR="000B5F02">
        <w:t xml:space="preserve"> to the official</w:t>
      </w:r>
      <w:r w:rsidR="000B5F02" w:rsidRPr="00070A34">
        <w:t xml:space="preserve"> INSPIRE dashboard</w:t>
      </w:r>
      <w:r w:rsidR="000B5F02" w:rsidRPr="00070A34">
        <w:rPr>
          <w:rStyle w:val="FootnoteReference"/>
        </w:rPr>
        <w:footnoteReference w:id="4"/>
      </w:r>
      <w:r w:rsidR="000B5F02">
        <w:t>, which provides</w:t>
      </w:r>
      <w:r>
        <w:t xml:space="preserve"> public</w:t>
      </w:r>
      <w:r w:rsidR="000B5F02">
        <w:t xml:space="preserve"> access to all monitoring information seamlessly since 2010</w:t>
      </w:r>
      <w:r>
        <w:t xml:space="preserve">. </w:t>
      </w:r>
    </w:p>
    <w:p w14:paraId="25639A8E" w14:textId="2C73B151" w:rsidR="000B5F02" w:rsidRPr="00070A34" w:rsidRDefault="000B5F02" w:rsidP="000B5F02">
      <w:pPr>
        <w:spacing w:line="240" w:lineRule="auto"/>
        <w:jc w:val="both"/>
      </w:pPr>
      <w:r w:rsidRPr="00070A34">
        <w:t>After</w:t>
      </w:r>
      <w:r w:rsidR="001F6527">
        <w:t xml:space="preserve"> a first quick analysis of</w:t>
      </w:r>
      <w:r>
        <w:t xml:space="preserve"> the 2019</w:t>
      </w:r>
      <w:r w:rsidRPr="00070A34">
        <w:t xml:space="preserve"> </w:t>
      </w:r>
      <w:r w:rsidR="001F6527">
        <w:t xml:space="preserve">annual </w:t>
      </w:r>
      <w:r w:rsidRPr="00070A34">
        <w:t>monitoring results</w:t>
      </w:r>
      <w:r w:rsidR="001F6527">
        <w:rPr>
          <w:rStyle w:val="FootnoteReference"/>
        </w:rPr>
        <w:footnoteReference w:id="5"/>
      </w:r>
      <w:r>
        <w:t xml:space="preserve">, </w:t>
      </w:r>
      <w:r w:rsidRPr="00070A34">
        <w:t>we can conclude that:</w:t>
      </w:r>
    </w:p>
    <w:p w14:paraId="792CF54D" w14:textId="77777777" w:rsidR="000B5F02" w:rsidRPr="00070A34" w:rsidRDefault="000B5F02" w:rsidP="000B5F02">
      <w:pPr>
        <w:pStyle w:val="ListParagraph"/>
        <w:spacing w:before="0" w:line="240" w:lineRule="auto"/>
        <w:contextualSpacing w:val="0"/>
        <w:jc w:val="both"/>
      </w:pPr>
    </w:p>
    <w:p w14:paraId="4CCB8242" w14:textId="77777777" w:rsidR="000B5F02" w:rsidRPr="0097701D" w:rsidRDefault="000B5F02" w:rsidP="000E1F5F">
      <w:pPr>
        <w:pStyle w:val="ListParagraph"/>
        <w:numPr>
          <w:ilvl w:val="0"/>
          <w:numId w:val="7"/>
        </w:numPr>
        <w:spacing w:before="0" w:line="240" w:lineRule="auto"/>
        <w:contextualSpacing w:val="0"/>
        <w:jc w:val="both"/>
      </w:pPr>
      <w:r w:rsidRPr="0097701D">
        <w:t xml:space="preserve">There is still an ascending number of reported INSPIRE datasets, especially in Annex III, with a relatively stable number of Annex I and II datasets. Five countries (FR, DE, IT, PL and UK) account for the vast majority (96%) of datasets reported. </w:t>
      </w:r>
    </w:p>
    <w:p w14:paraId="3650FE69" w14:textId="77777777" w:rsidR="000B5F02" w:rsidRDefault="000B5F02" w:rsidP="000E1F5F">
      <w:pPr>
        <w:pStyle w:val="ListParagraph"/>
        <w:numPr>
          <w:ilvl w:val="0"/>
          <w:numId w:val="7"/>
        </w:numPr>
        <w:spacing w:before="0" w:line="240" w:lineRule="auto"/>
        <w:contextualSpacing w:val="0"/>
        <w:jc w:val="both"/>
      </w:pPr>
      <w:r>
        <w:t>Around 79</w:t>
      </w:r>
      <w:r w:rsidRPr="00070A34">
        <w:t xml:space="preserve">% of the datasets are labelled with themes from Annex III, while </w:t>
      </w:r>
      <w:r>
        <w:t>14</w:t>
      </w:r>
      <w:r w:rsidRPr="00070A34">
        <w:t xml:space="preserve">% use themes from </w:t>
      </w:r>
      <w:r>
        <w:t>Annex I and 9</w:t>
      </w:r>
      <w:r w:rsidRPr="00070A34">
        <w:t xml:space="preserve">% Annex II.  </w:t>
      </w:r>
    </w:p>
    <w:p w14:paraId="5C3CD337" w14:textId="1B275FE8" w:rsidR="000B5F02" w:rsidRPr="00070A34" w:rsidRDefault="000B5F02" w:rsidP="000E1F5F">
      <w:pPr>
        <w:pStyle w:val="ListParagraph"/>
        <w:numPr>
          <w:ilvl w:val="0"/>
          <w:numId w:val="7"/>
        </w:numPr>
        <w:spacing w:before="0" w:line="240" w:lineRule="auto"/>
        <w:contextualSpacing w:val="0"/>
        <w:jc w:val="both"/>
      </w:pPr>
      <w:r>
        <w:t xml:space="preserve">There is </w:t>
      </w:r>
      <w:r w:rsidR="0075364F">
        <w:t xml:space="preserve">also </w:t>
      </w:r>
      <w:r>
        <w:t xml:space="preserve">an increase in the number of reported INSPIRE services. As in the case of last year, FR accounts for almost 60% of all services reported across Europe. </w:t>
      </w:r>
    </w:p>
    <w:p w14:paraId="247FD35A" w14:textId="2AB5D97B" w:rsidR="000B5F02" w:rsidRPr="00604D09" w:rsidRDefault="000B5F02" w:rsidP="000E1F5F">
      <w:pPr>
        <w:pStyle w:val="ListParagraph"/>
        <w:numPr>
          <w:ilvl w:val="0"/>
          <w:numId w:val="7"/>
        </w:numPr>
        <w:spacing w:before="0" w:line="240" w:lineRule="auto"/>
        <w:contextualSpacing w:val="0"/>
        <w:jc w:val="both"/>
      </w:pPr>
      <w:r>
        <w:t xml:space="preserve">There is a moderate </w:t>
      </w:r>
      <w:r w:rsidRPr="0097701D">
        <w:t>increase in the reported number of view (</w:t>
      </w:r>
      <w:r>
        <w:t>16</w:t>
      </w:r>
      <w:r w:rsidRPr="0097701D">
        <w:t>%) and download services</w:t>
      </w:r>
      <w:r>
        <w:t xml:space="preserve"> </w:t>
      </w:r>
      <w:r w:rsidRPr="00604D09">
        <w:t xml:space="preserve">(9% more) with respect to 2018 monitoring exercise. </w:t>
      </w:r>
      <w:r w:rsidR="001F6527">
        <w:t xml:space="preserve">In total, 56% of </w:t>
      </w:r>
      <w:r w:rsidR="0075364F">
        <w:t xml:space="preserve">reported </w:t>
      </w:r>
      <w:r w:rsidR="001F6527">
        <w:t xml:space="preserve">network services are download services, while 42% account for view services. </w:t>
      </w:r>
    </w:p>
    <w:p w14:paraId="56DBEC86" w14:textId="0CD3CBFD" w:rsidR="000B5F02" w:rsidRPr="00604D09" w:rsidRDefault="001F6527" w:rsidP="000E1F5F">
      <w:pPr>
        <w:pStyle w:val="ListParagraph"/>
        <w:numPr>
          <w:ilvl w:val="0"/>
          <w:numId w:val="7"/>
        </w:numPr>
        <w:spacing w:before="0" w:line="240" w:lineRule="auto"/>
        <w:contextualSpacing w:val="0"/>
        <w:jc w:val="both"/>
      </w:pPr>
      <w:r>
        <w:lastRenderedPageBreak/>
        <w:t>The average percentage of s</w:t>
      </w:r>
      <w:r w:rsidR="000B5F02" w:rsidRPr="00604D09">
        <w:t>patial data sets and services metadata conformity</w:t>
      </w:r>
      <w:r w:rsidR="000B5F02">
        <w:rPr>
          <w:rStyle w:val="FootnoteReference"/>
        </w:rPr>
        <w:footnoteReference w:id="6"/>
      </w:r>
      <w:r w:rsidR="000B5F02" w:rsidRPr="00604D09">
        <w:t xml:space="preserve"> reported </w:t>
      </w:r>
      <w:r w:rsidR="0075364F">
        <w:t>continues its ascending trend</w:t>
      </w:r>
      <w:r w:rsidR="000B5F02" w:rsidRPr="00604D09">
        <w:t xml:space="preserve"> and is </w:t>
      </w:r>
      <w:r w:rsidR="0075364F" w:rsidRPr="00604D09">
        <w:t xml:space="preserve">now </w:t>
      </w:r>
      <w:r w:rsidR="000B5F02" w:rsidRPr="00604D09">
        <w:t xml:space="preserve">around </w:t>
      </w:r>
      <w:r w:rsidR="000B5F02" w:rsidRPr="00604D09">
        <w:rPr>
          <w:bCs/>
        </w:rPr>
        <w:t xml:space="preserve">95%. </w:t>
      </w:r>
    </w:p>
    <w:p w14:paraId="4E0DBFCC" w14:textId="0774293E" w:rsidR="000B5F02" w:rsidRPr="00604D09" w:rsidRDefault="000B5F02" w:rsidP="000E1F5F">
      <w:pPr>
        <w:pStyle w:val="ListParagraph"/>
        <w:numPr>
          <w:ilvl w:val="0"/>
          <w:numId w:val="7"/>
        </w:numPr>
        <w:spacing w:before="0" w:line="240" w:lineRule="auto"/>
        <w:contextualSpacing w:val="0"/>
        <w:jc w:val="both"/>
      </w:pPr>
      <w:r>
        <w:t xml:space="preserve">The </w:t>
      </w:r>
      <w:r w:rsidR="001F6527">
        <w:t xml:space="preserve">average </w:t>
      </w:r>
      <w:r>
        <w:t>percentage of self-declared</w:t>
      </w:r>
      <w:r w:rsidRPr="00604D09">
        <w:t xml:space="preserve"> conformity</w:t>
      </w:r>
      <w:r>
        <w:t xml:space="preserve"> in network services per country</w:t>
      </w:r>
      <w:r w:rsidRPr="00604D09">
        <w:t xml:space="preserve"> </w:t>
      </w:r>
      <w:r>
        <w:t xml:space="preserve">has decreased slightly and </w:t>
      </w:r>
      <w:r w:rsidRPr="00604D09">
        <w:t xml:space="preserve">is now </w:t>
      </w:r>
      <w:r>
        <w:t>only above</w:t>
      </w:r>
      <w:r w:rsidRPr="00604D09">
        <w:t xml:space="preserve"> </w:t>
      </w:r>
      <w:r>
        <w:rPr>
          <w:bCs/>
        </w:rPr>
        <w:t>5</w:t>
      </w:r>
      <w:r w:rsidRPr="00604D09">
        <w:rPr>
          <w:bCs/>
        </w:rPr>
        <w:t xml:space="preserve">0%. </w:t>
      </w:r>
      <w:r w:rsidR="0075364F">
        <w:rPr>
          <w:bCs/>
        </w:rPr>
        <w:t>However, t</w:t>
      </w:r>
      <w:r>
        <w:rPr>
          <w:bCs/>
        </w:rPr>
        <w:t xml:space="preserve">he number of reported services has increased slightly (16% more view services, 9% more download services). </w:t>
      </w:r>
    </w:p>
    <w:p w14:paraId="0083DD44" w14:textId="27E5322B" w:rsidR="000B5F02" w:rsidRPr="00233862" w:rsidRDefault="000B5F02" w:rsidP="000E1F5F">
      <w:pPr>
        <w:pStyle w:val="ListParagraph"/>
        <w:numPr>
          <w:ilvl w:val="0"/>
          <w:numId w:val="7"/>
        </w:numPr>
        <w:spacing w:before="0" w:line="240" w:lineRule="auto"/>
        <w:contextualSpacing w:val="0"/>
        <w:jc w:val="both"/>
      </w:pPr>
      <w:r>
        <w:t>The n</w:t>
      </w:r>
      <w:r w:rsidRPr="00233862">
        <w:t xml:space="preserve">umber of </w:t>
      </w:r>
      <w:r>
        <w:t xml:space="preserve">self-declared </w:t>
      </w:r>
      <w:r w:rsidRPr="00233862">
        <w:t>conformant datasets with respect to the Annex data specifications is increasing, especially for Annex III</w:t>
      </w:r>
      <w:r w:rsidR="0075364F">
        <w:t>, but surprisingly</w:t>
      </w:r>
      <w:r w:rsidRPr="00233862">
        <w:t xml:space="preserve"> not in a significant manner in the case of Annex I</w:t>
      </w:r>
      <w:r>
        <w:t xml:space="preserve"> or II. </w:t>
      </w:r>
    </w:p>
    <w:p w14:paraId="5DCC193F" w14:textId="4A5635F3" w:rsidR="000B5F02" w:rsidRDefault="009273F8" w:rsidP="000E1F5F">
      <w:pPr>
        <w:pStyle w:val="ListParagraph"/>
        <w:numPr>
          <w:ilvl w:val="0"/>
          <w:numId w:val="7"/>
        </w:numPr>
        <w:spacing w:before="0" w:line="240" w:lineRule="auto"/>
        <w:contextualSpacing w:val="0"/>
        <w:jc w:val="both"/>
      </w:pPr>
      <w:r>
        <w:t>In</w:t>
      </w:r>
      <w:r w:rsidR="000B5F02" w:rsidRPr="00233862">
        <w:t xml:space="preserve"> comparison with the total number of reported datasets, 51% of Annex I datasets are declared to be conformant, while this percentage is lower in the case of Annex II (10%) and Annex III (14%). Overall, only 19% of all datasets are declared to be conformant with the IR on interoperability of spatial datasets and services. </w:t>
      </w:r>
    </w:p>
    <w:p w14:paraId="68609141" w14:textId="517A6A7B" w:rsidR="009273F8" w:rsidRDefault="009273F8" w:rsidP="009273F8">
      <w:pPr>
        <w:pStyle w:val="ListParagraph"/>
        <w:spacing w:before="0" w:line="240" w:lineRule="auto"/>
        <w:contextualSpacing w:val="0"/>
        <w:jc w:val="both"/>
      </w:pPr>
    </w:p>
    <w:p w14:paraId="6053D682" w14:textId="7D524D0B" w:rsidR="009273F8" w:rsidRDefault="009273F8" w:rsidP="009273F8">
      <w:pPr>
        <w:pStyle w:val="ListParagraph"/>
        <w:spacing w:before="0" w:line="240" w:lineRule="auto"/>
        <w:ind w:left="0"/>
        <w:contextualSpacing w:val="0"/>
        <w:jc w:val="both"/>
      </w:pPr>
      <w:r>
        <w:t xml:space="preserve">Differences with respect to the geoportal statistics (i.e. number of datasets and services available) will be analysed in order to draw some conclusions that can help subsequent monitoring rounds.  </w:t>
      </w:r>
    </w:p>
    <w:p w14:paraId="79F171C8" w14:textId="45828795" w:rsidR="000B5F02" w:rsidRDefault="000B5F02" w:rsidP="000B5F02">
      <w:pPr>
        <w:spacing w:line="240" w:lineRule="auto"/>
        <w:jc w:val="both"/>
      </w:pPr>
      <w:r>
        <w:rPr>
          <w:b/>
        </w:rPr>
        <w:t>Tri-a</w:t>
      </w:r>
      <w:r w:rsidRPr="00D6234A">
        <w:rPr>
          <w:b/>
        </w:rPr>
        <w:t xml:space="preserve">nnual </w:t>
      </w:r>
      <w:r w:rsidR="0082335D">
        <w:rPr>
          <w:b/>
        </w:rPr>
        <w:t>implementation report</w:t>
      </w:r>
    </w:p>
    <w:p w14:paraId="3EA7008A" w14:textId="1DCD2CC0" w:rsidR="000B5F02" w:rsidRDefault="000B5F02" w:rsidP="000B5F02">
      <w:pPr>
        <w:spacing w:line="240" w:lineRule="auto"/>
        <w:jc w:val="both"/>
      </w:pPr>
      <w:r>
        <w:t xml:space="preserve">As the amendment of the Directive had not been adopted by the 15 May deadline, Member States were also due to submit the tri-annual implementation report this year. The Commission encouraged Member States to submit an annual update of the summary report published after the 2016 reporting exercise via the </w:t>
      </w:r>
      <w:r w:rsidR="00F86E86" w:rsidRPr="00F86E86">
        <w:t>country fiche editor</w:t>
      </w:r>
      <w:r w:rsidRPr="00F86E86">
        <w:t xml:space="preserve"> </w:t>
      </w:r>
      <w:r>
        <w:t>set up for that purpose by the Joint Research Centre of the European Commission</w:t>
      </w:r>
      <w:r>
        <w:rPr>
          <w:rStyle w:val="FootnoteReference"/>
        </w:rPr>
        <w:footnoteReference w:id="7"/>
      </w:r>
      <w:r w:rsidR="00E61A24">
        <w:t xml:space="preserve">. The country fiche editor was designed to support </w:t>
      </w:r>
      <w:r w:rsidR="00F86E86">
        <w:t xml:space="preserve">update </w:t>
      </w:r>
      <w:r w:rsidR="00E61A24">
        <w:t xml:space="preserve">of </w:t>
      </w:r>
      <w:r w:rsidR="00E61A24" w:rsidRPr="0082335D">
        <w:rPr>
          <w:i/>
        </w:rPr>
        <w:t>State of Play</w:t>
      </w:r>
      <w:r w:rsidR="00E61A24">
        <w:t xml:space="preserve"> part of the country fiches. It was open</w:t>
      </w:r>
      <w:r w:rsidR="00E61A24" w:rsidRPr="00E61A24">
        <w:t xml:space="preserve"> for </w:t>
      </w:r>
      <w:r w:rsidR="009273F8">
        <w:t>n</w:t>
      </w:r>
      <w:r w:rsidR="00E61A24" w:rsidRPr="00E61A24">
        <w:t xml:space="preserve">ational reporters from </w:t>
      </w:r>
      <w:r w:rsidR="009273F8">
        <w:t>25</w:t>
      </w:r>
      <w:r w:rsidR="009273F8" w:rsidRPr="009273F8">
        <w:rPr>
          <w:vertAlign w:val="superscript"/>
        </w:rPr>
        <w:t>th</w:t>
      </w:r>
      <w:r w:rsidR="009273F8">
        <w:t xml:space="preserve"> March. </w:t>
      </w:r>
    </w:p>
    <w:p w14:paraId="27CC83C7" w14:textId="49BB2802" w:rsidR="000B5F02" w:rsidRDefault="007D69D0" w:rsidP="000B5F02">
      <w:pPr>
        <w:spacing w:line="240" w:lineRule="auto"/>
        <w:jc w:val="both"/>
      </w:pPr>
      <w:r>
        <w:t>Here is the statistics of reporting b</w:t>
      </w:r>
      <w:r w:rsidR="00F07CA3">
        <w:t xml:space="preserve">y </w:t>
      </w:r>
      <w:r w:rsidR="00E61A24">
        <w:t xml:space="preserve">15 May 2019: </w:t>
      </w:r>
    </w:p>
    <w:p w14:paraId="5E478AAF" w14:textId="2B010A0D" w:rsidR="007D69D0" w:rsidRPr="007D69D0" w:rsidRDefault="007D69D0" w:rsidP="000E1F5F">
      <w:pPr>
        <w:pStyle w:val="ListParagraph"/>
        <w:numPr>
          <w:ilvl w:val="0"/>
          <w:numId w:val="9"/>
        </w:numPr>
        <w:spacing w:line="240" w:lineRule="auto"/>
        <w:jc w:val="both"/>
      </w:pPr>
      <w:r w:rsidRPr="007D69D0">
        <w:t xml:space="preserve">Member States that updated country fiches: BE, BG, CZ, DK, DE, EE, IE, EL, ES, HR, LV, LT, LU, HU, MT, NL, AT, PL, </w:t>
      </w:r>
      <w:r w:rsidR="00B85041">
        <w:t>P</w:t>
      </w:r>
      <w:r w:rsidRPr="007D69D0">
        <w:t>T, RO, SI, SK, FI, SE, UK.</w:t>
      </w:r>
    </w:p>
    <w:p w14:paraId="79A05661" w14:textId="77777777" w:rsidR="007D69D0" w:rsidRPr="007D69D0" w:rsidRDefault="007D69D0" w:rsidP="000E1F5F">
      <w:pPr>
        <w:pStyle w:val="ListParagraph"/>
        <w:numPr>
          <w:ilvl w:val="0"/>
          <w:numId w:val="9"/>
        </w:numPr>
        <w:spacing w:line="240" w:lineRule="auto"/>
        <w:jc w:val="both"/>
      </w:pPr>
      <w:r w:rsidRPr="007D69D0">
        <w:t>Member States without updated country fiches: FR and IT</w:t>
      </w:r>
    </w:p>
    <w:p w14:paraId="171EBC47" w14:textId="18F98A75" w:rsidR="007D69D0" w:rsidRDefault="007D69D0" w:rsidP="000E1F5F">
      <w:pPr>
        <w:pStyle w:val="ListParagraph"/>
        <w:numPr>
          <w:ilvl w:val="0"/>
          <w:numId w:val="9"/>
        </w:numPr>
        <w:spacing w:line="240" w:lineRule="auto"/>
        <w:jc w:val="both"/>
      </w:pPr>
      <w:r w:rsidRPr="007D69D0">
        <w:t>Member States that provided full Report: CY</w:t>
      </w:r>
      <w:r>
        <w:t xml:space="preserve"> (through</w:t>
      </w:r>
      <w:r w:rsidR="00F86E86">
        <w:t xml:space="preserve"> the</w:t>
      </w:r>
      <w:r>
        <w:t xml:space="preserve"> ROD)</w:t>
      </w:r>
    </w:p>
    <w:p w14:paraId="6DBD694A" w14:textId="284C32A2" w:rsidR="007D69D0" w:rsidRPr="007D69D0" w:rsidRDefault="007D69D0" w:rsidP="000E1F5F">
      <w:pPr>
        <w:pStyle w:val="ListParagraph"/>
        <w:numPr>
          <w:ilvl w:val="0"/>
          <w:numId w:val="9"/>
        </w:numPr>
        <w:spacing w:line="240" w:lineRule="auto"/>
        <w:jc w:val="both"/>
      </w:pPr>
      <w:r>
        <w:t xml:space="preserve">Member States that provided updates in national languages: </w:t>
      </w:r>
      <w:r w:rsidRPr="007D69D0">
        <w:t>PL, EE, BG, AT</w:t>
      </w:r>
    </w:p>
    <w:p w14:paraId="1129BF25" w14:textId="00CE04D7" w:rsidR="007D69D0" w:rsidRPr="007D69D0" w:rsidRDefault="007D69D0" w:rsidP="000E1F5F">
      <w:pPr>
        <w:pStyle w:val="ListParagraph"/>
        <w:numPr>
          <w:ilvl w:val="0"/>
          <w:numId w:val="9"/>
        </w:numPr>
        <w:spacing w:line="240" w:lineRule="auto"/>
        <w:jc w:val="both"/>
      </w:pPr>
      <w:r w:rsidRPr="007D69D0">
        <w:t>EFTA countries that updated country fiches: IS and LI</w:t>
      </w:r>
      <w:r>
        <w:t xml:space="preserve"> (both </w:t>
      </w:r>
      <w:r w:rsidRPr="007D69D0">
        <w:t>in national languages</w:t>
      </w:r>
      <w:r>
        <w:t>)</w:t>
      </w:r>
    </w:p>
    <w:p w14:paraId="6D4D6FA7" w14:textId="0996AFA2" w:rsidR="00E61A24" w:rsidRDefault="007D69D0" w:rsidP="000E1F5F">
      <w:pPr>
        <w:pStyle w:val="ListParagraph"/>
        <w:numPr>
          <w:ilvl w:val="0"/>
          <w:numId w:val="9"/>
        </w:numPr>
        <w:spacing w:line="240" w:lineRule="auto"/>
        <w:jc w:val="both"/>
      </w:pPr>
      <w:r w:rsidRPr="007D69D0">
        <w:t>EFTA countries without updated country fiches: CH and NO</w:t>
      </w:r>
    </w:p>
    <w:p w14:paraId="118F8CF3" w14:textId="617A5786" w:rsidR="001E7FF1" w:rsidRDefault="00D556EA" w:rsidP="00D556EA">
      <w:pPr>
        <w:pStyle w:val="Heading1"/>
      </w:pPr>
      <w:bookmarkStart w:id="10" w:name="_Toc11409476"/>
      <w:r w:rsidRPr="00D556EA">
        <w:t>Enforcement action</w:t>
      </w:r>
      <w:bookmarkEnd w:id="10"/>
    </w:p>
    <w:p w14:paraId="3A2DEEF9" w14:textId="44FF40C1" w:rsidR="00A56E20" w:rsidRPr="00A56E20" w:rsidRDefault="00A56E20" w:rsidP="00A56E20">
      <w:pPr>
        <w:jc w:val="both"/>
      </w:pPr>
      <w:r w:rsidRPr="00A56E20">
        <w:t xml:space="preserve">The list of data sets that are a priority under environmental legislation was communicated to Member States by two letters and was also made available on the WIKI. The first letter was sent to all Member States on 21 December 2017 (ARES(2017)6316317) requesting them to allow access and download of priority data sets by 15 May 2018. The second letter was sent to all Member States on 25 July 2018 (Ares(2018)3946754) requesting them to inform the Commission of their priority data sets and where these data sets are accessible (i.e. a link to the respective view and download services) by 15 October 2018. The Commission based its assessment of the fulfilment of the </w:t>
      </w:r>
      <w:r w:rsidRPr="00A56E20">
        <w:lastRenderedPageBreak/>
        <w:t>requirements of data accessibility by using the INSPIRE Dashboard and the INSPIRE EU-geoportal (established under Article 15(2) of the INSPIRE Directive). Those tools ensure a precise and clear overview of the status of implementation on the main obligations under the Directive and related Regulations by each Member State. The available information on INSPIRE EU-geoportal showed that in begin of 2019 many Member States where still lagging behind with the implementation of the priority list of data sets and that some Member States showed no progress at all. Therefore, the Commission decided to issue letters of formal notice for those Member States that have shown no progress at all, in which it takes the view that the concerned Member States have failed to implement several provisions of the INSPIRE Directive and of the Metadata and Network Services Regulations in relation to the priority list of data sets for eReporting.</w:t>
      </w:r>
      <w:r>
        <w:t xml:space="preserve"> A letter of formal notice was sent on 8 March 2019 to Bulgaria, Latvia, Lithuania and Poland.  </w:t>
      </w:r>
    </w:p>
    <w:sectPr w:rsidR="00A56E20" w:rsidRPr="00A56E20" w:rsidSect="001216A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B12D" w14:textId="77777777" w:rsidR="00342202" w:rsidRDefault="00342202" w:rsidP="001B3451">
      <w:pPr>
        <w:spacing w:line="240" w:lineRule="auto"/>
      </w:pPr>
      <w:r>
        <w:separator/>
      </w:r>
    </w:p>
  </w:endnote>
  <w:endnote w:type="continuationSeparator" w:id="0">
    <w:p w14:paraId="20B5C231" w14:textId="77777777" w:rsidR="00342202" w:rsidRDefault="00342202" w:rsidP="001B3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894E" w14:textId="77777777" w:rsidR="009F6400" w:rsidRDefault="009F6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8991"/>
      <w:docPartObj>
        <w:docPartGallery w:val="Page Numbers (Bottom of Page)"/>
        <w:docPartUnique/>
      </w:docPartObj>
    </w:sdtPr>
    <w:sdtEndPr>
      <w:rPr>
        <w:noProof/>
        <w:szCs w:val="24"/>
      </w:rPr>
    </w:sdtEndPr>
    <w:sdtContent>
      <w:p w14:paraId="75325A82" w14:textId="2EB5EF99" w:rsidR="001216A9" w:rsidRPr="001A1BFA" w:rsidRDefault="001216A9" w:rsidP="008619BB">
        <w:pPr>
          <w:pStyle w:val="Footer"/>
          <w:jc w:val="right"/>
          <w:rPr>
            <w:szCs w:val="24"/>
          </w:rPr>
        </w:pPr>
        <w:r w:rsidRPr="001A1BFA">
          <w:rPr>
            <w:szCs w:val="24"/>
          </w:rPr>
          <w:fldChar w:fldCharType="begin"/>
        </w:r>
        <w:r w:rsidRPr="001A1BFA">
          <w:rPr>
            <w:szCs w:val="24"/>
          </w:rPr>
          <w:instrText xml:space="preserve"> PAGE   \* MERGEFORMAT </w:instrText>
        </w:r>
        <w:r w:rsidRPr="001A1BFA">
          <w:rPr>
            <w:szCs w:val="24"/>
          </w:rPr>
          <w:fldChar w:fldCharType="separate"/>
        </w:r>
        <w:r w:rsidR="00B85041">
          <w:rPr>
            <w:noProof/>
            <w:szCs w:val="24"/>
          </w:rPr>
          <w:t>1</w:t>
        </w:r>
        <w:r w:rsidRPr="001A1BFA">
          <w:rPr>
            <w:noProof/>
            <w:szCs w:val="24"/>
          </w:rPr>
          <w:fldChar w:fldCharType="end"/>
        </w:r>
      </w:p>
    </w:sdtContent>
  </w:sdt>
  <w:p w14:paraId="27C729C2" w14:textId="77777777" w:rsidR="001216A9" w:rsidRPr="001B3451" w:rsidRDefault="001216A9" w:rsidP="001B3451">
    <w:pPr>
      <w:pStyle w:val="FooterCoverPage"/>
      <w:rPr>
        <w:rFonts w:ascii="Arial" w:hAnsi="Arial" w:cs="Arial"/>
        <w:b/>
        <w:sz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69DB" w14:textId="77777777" w:rsidR="009F6400" w:rsidRDefault="009F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8B79" w14:textId="77777777" w:rsidR="00342202" w:rsidRDefault="00342202" w:rsidP="001B3451">
      <w:pPr>
        <w:spacing w:line="240" w:lineRule="auto"/>
      </w:pPr>
      <w:r>
        <w:separator/>
      </w:r>
    </w:p>
  </w:footnote>
  <w:footnote w:type="continuationSeparator" w:id="0">
    <w:p w14:paraId="3F0E1743" w14:textId="77777777" w:rsidR="00342202" w:rsidRDefault="00342202" w:rsidP="001B3451">
      <w:pPr>
        <w:spacing w:line="240" w:lineRule="auto"/>
      </w:pPr>
      <w:r>
        <w:continuationSeparator/>
      </w:r>
    </w:p>
  </w:footnote>
  <w:footnote w:id="1">
    <w:p w14:paraId="6CEFE02E" w14:textId="77777777" w:rsidR="000B5F02" w:rsidRPr="001F6527" w:rsidRDefault="000B5F02" w:rsidP="001F6527">
      <w:pPr>
        <w:pStyle w:val="FootnoteText"/>
        <w:spacing w:before="0" w:after="0"/>
        <w:rPr>
          <w:rFonts w:asciiTheme="minorHAnsi" w:hAnsiTheme="minorHAnsi"/>
          <w:sz w:val="16"/>
          <w:lang w:val="hu-HU"/>
        </w:rPr>
      </w:pPr>
      <w:r w:rsidRPr="001F6527">
        <w:rPr>
          <w:rStyle w:val="FootnoteReference"/>
          <w:rFonts w:asciiTheme="minorHAnsi" w:hAnsiTheme="minorHAnsi"/>
          <w:sz w:val="16"/>
        </w:rPr>
        <w:footnoteRef/>
      </w:r>
      <w:r w:rsidRPr="001F6527">
        <w:rPr>
          <w:rFonts w:asciiTheme="minorHAnsi" w:hAnsiTheme="minorHAnsi"/>
          <w:sz w:val="16"/>
          <w:lang w:val="hu-HU"/>
        </w:rPr>
        <w:t xml:space="preserve"> </w:t>
      </w:r>
      <w:hyperlink r:id="rId1" w:history="1">
        <w:r w:rsidRPr="001F6527">
          <w:rPr>
            <w:rStyle w:val="Hyperlink"/>
            <w:rFonts w:asciiTheme="minorHAnsi" w:hAnsiTheme="minorHAnsi"/>
            <w:sz w:val="16"/>
            <w:lang w:val="hu-HU"/>
          </w:rPr>
          <w:t>http://cdr.eionet.europa.eu/help/INSPIRE_ReportingGuidance2019_v1.0.pdf</w:t>
        </w:r>
      </w:hyperlink>
      <w:r w:rsidRPr="001F6527">
        <w:rPr>
          <w:rFonts w:asciiTheme="minorHAnsi" w:hAnsiTheme="minorHAnsi"/>
          <w:sz w:val="16"/>
          <w:lang w:val="hu-HU"/>
        </w:rPr>
        <w:t xml:space="preserve"> </w:t>
      </w:r>
    </w:p>
  </w:footnote>
  <w:footnote w:id="2">
    <w:p w14:paraId="49784331" w14:textId="77777777" w:rsidR="000B5F02" w:rsidRPr="001F6527" w:rsidRDefault="000B5F02" w:rsidP="001F6527">
      <w:pPr>
        <w:pStyle w:val="FootnoteText"/>
        <w:spacing w:before="0" w:after="0"/>
        <w:rPr>
          <w:rFonts w:asciiTheme="minorHAnsi" w:hAnsiTheme="minorHAnsi"/>
          <w:sz w:val="16"/>
          <w:lang w:val="hu-HU"/>
        </w:rPr>
      </w:pPr>
      <w:r w:rsidRPr="001F6527">
        <w:rPr>
          <w:rStyle w:val="FootnoteReference"/>
          <w:rFonts w:asciiTheme="minorHAnsi" w:hAnsiTheme="minorHAnsi"/>
          <w:sz w:val="16"/>
        </w:rPr>
        <w:footnoteRef/>
      </w:r>
      <w:r w:rsidRPr="001F6527">
        <w:rPr>
          <w:rFonts w:asciiTheme="minorHAnsi" w:hAnsiTheme="minorHAnsi"/>
          <w:sz w:val="16"/>
          <w:lang w:val="hu-HU"/>
        </w:rPr>
        <w:t xml:space="preserve"> https://www.eionet.europa.eu/reportnet</w:t>
      </w:r>
    </w:p>
  </w:footnote>
  <w:footnote w:id="3">
    <w:p w14:paraId="25B679A8" w14:textId="77777777" w:rsidR="000B5F02" w:rsidRPr="001F6527" w:rsidRDefault="000B5F02" w:rsidP="001F6527">
      <w:pPr>
        <w:pStyle w:val="FootnoteText"/>
        <w:spacing w:before="0" w:after="0"/>
        <w:rPr>
          <w:rFonts w:asciiTheme="minorHAnsi" w:hAnsiTheme="minorHAnsi"/>
          <w:sz w:val="16"/>
          <w:lang w:val="hu-HU"/>
        </w:rPr>
      </w:pPr>
      <w:r w:rsidRPr="001F6527">
        <w:rPr>
          <w:rStyle w:val="FootnoteReference"/>
          <w:rFonts w:asciiTheme="minorHAnsi" w:hAnsiTheme="minorHAnsi"/>
          <w:sz w:val="16"/>
        </w:rPr>
        <w:footnoteRef/>
      </w:r>
      <w:r w:rsidRPr="001F6527">
        <w:rPr>
          <w:rFonts w:asciiTheme="minorHAnsi" w:hAnsiTheme="minorHAnsi"/>
          <w:sz w:val="16"/>
          <w:lang w:val="hu-HU"/>
        </w:rPr>
        <w:t xml:space="preserve"> https://sandbox-inspire-dashboard.eea.europa.eu/#/</w:t>
      </w:r>
    </w:p>
  </w:footnote>
  <w:footnote w:id="4">
    <w:p w14:paraId="6465E71D" w14:textId="77777777" w:rsidR="000B5F02" w:rsidRPr="001F6527" w:rsidRDefault="000B5F02" w:rsidP="001F6527">
      <w:pPr>
        <w:pStyle w:val="FootnoteText"/>
        <w:spacing w:before="0" w:after="0"/>
        <w:ind w:left="0" w:firstLine="0"/>
        <w:rPr>
          <w:rFonts w:asciiTheme="minorHAnsi" w:hAnsiTheme="minorHAnsi"/>
          <w:sz w:val="16"/>
          <w:lang w:val="hu-HU"/>
        </w:rPr>
      </w:pPr>
      <w:r w:rsidRPr="001F6527">
        <w:rPr>
          <w:rStyle w:val="FootnoteReference"/>
          <w:rFonts w:asciiTheme="minorHAnsi" w:hAnsiTheme="minorHAnsi"/>
          <w:sz w:val="16"/>
        </w:rPr>
        <w:footnoteRef/>
      </w:r>
      <w:r w:rsidRPr="001F6527">
        <w:rPr>
          <w:rFonts w:asciiTheme="minorHAnsi" w:hAnsiTheme="minorHAnsi"/>
          <w:sz w:val="16"/>
          <w:lang w:val="hu-HU"/>
        </w:rPr>
        <w:t xml:space="preserve"> </w:t>
      </w:r>
      <w:hyperlink r:id="rId2" w:anchor="/" w:history="1">
        <w:r w:rsidRPr="001F6527">
          <w:rPr>
            <w:rStyle w:val="Hyperlink"/>
            <w:rFonts w:asciiTheme="minorHAnsi" w:hAnsiTheme="minorHAnsi"/>
            <w:sz w:val="16"/>
            <w:lang w:val="hu-HU"/>
          </w:rPr>
          <w:t>https://inspire-dashboard.eea.europa.eu/#/</w:t>
        </w:r>
      </w:hyperlink>
      <w:r w:rsidRPr="001F6527">
        <w:rPr>
          <w:rFonts w:asciiTheme="minorHAnsi" w:hAnsiTheme="minorHAnsi"/>
          <w:sz w:val="16"/>
          <w:lang w:val="hu-HU"/>
        </w:rPr>
        <w:t xml:space="preserve">. Please note that slight change in the URL - </w:t>
      </w:r>
      <w:r w:rsidRPr="001F6527">
        <w:rPr>
          <w:rFonts w:asciiTheme="minorHAnsi" w:hAnsiTheme="minorHAnsi"/>
          <w:sz w:val="16"/>
        </w:rPr>
        <w:t>no “/change” at the end of the URL anymore</w:t>
      </w:r>
    </w:p>
  </w:footnote>
  <w:footnote w:id="5">
    <w:p w14:paraId="3DAEF596" w14:textId="2819B811" w:rsidR="001F6527" w:rsidRPr="001F6527" w:rsidRDefault="001F6527" w:rsidP="001F6527">
      <w:pPr>
        <w:pStyle w:val="FootnoteText"/>
        <w:spacing w:before="0" w:after="0"/>
        <w:rPr>
          <w:rFonts w:asciiTheme="minorHAnsi" w:hAnsiTheme="minorHAnsi"/>
          <w:sz w:val="16"/>
        </w:rPr>
      </w:pPr>
      <w:r w:rsidRPr="001F6527">
        <w:rPr>
          <w:rStyle w:val="FootnoteReference"/>
          <w:rFonts w:asciiTheme="minorHAnsi" w:hAnsiTheme="minorHAnsi"/>
          <w:sz w:val="16"/>
        </w:rPr>
        <w:footnoteRef/>
      </w:r>
      <w:r w:rsidRPr="001F6527">
        <w:rPr>
          <w:rFonts w:asciiTheme="minorHAnsi" w:hAnsiTheme="minorHAnsi"/>
          <w:sz w:val="16"/>
        </w:rPr>
        <w:t xml:space="preserve"> </w:t>
      </w:r>
      <w:r w:rsidR="009273F8">
        <w:rPr>
          <w:rFonts w:asciiTheme="minorHAnsi" w:hAnsiTheme="minorHAnsi"/>
          <w:sz w:val="16"/>
        </w:rPr>
        <w:t>This includes both</w:t>
      </w:r>
      <w:r w:rsidRPr="001F6527">
        <w:rPr>
          <w:rFonts w:asciiTheme="minorHAnsi" w:hAnsiTheme="minorHAnsi"/>
          <w:sz w:val="16"/>
        </w:rPr>
        <w:t xml:space="preserve"> EU and EFTA countries. </w:t>
      </w:r>
    </w:p>
  </w:footnote>
  <w:footnote w:id="6">
    <w:p w14:paraId="34602F82" w14:textId="5EA2BA90" w:rsidR="000B5F02" w:rsidRDefault="000B5F02" w:rsidP="001F6527">
      <w:pPr>
        <w:pStyle w:val="FootnoteText"/>
        <w:spacing w:before="0" w:after="0"/>
      </w:pPr>
      <w:r w:rsidRPr="001F6527">
        <w:rPr>
          <w:rStyle w:val="FootnoteReference"/>
          <w:rFonts w:asciiTheme="minorHAnsi" w:hAnsiTheme="minorHAnsi"/>
          <w:sz w:val="16"/>
        </w:rPr>
        <w:footnoteRef/>
      </w:r>
      <w:r w:rsidRPr="001F6527">
        <w:rPr>
          <w:rFonts w:asciiTheme="minorHAnsi" w:hAnsiTheme="minorHAnsi"/>
          <w:sz w:val="16"/>
        </w:rPr>
        <w:t xml:space="preserve"> Calculated against the old geoportal </w:t>
      </w:r>
      <w:r w:rsidR="001F6527" w:rsidRPr="001F6527">
        <w:rPr>
          <w:rFonts w:asciiTheme="minorHAnsi" w:hAnsiTheme="minorHAnsi"/>
          <w:sz w:val="16"/>
        </w:rPr>
        <w:t>harvesting checker</w:t>
      </w:r>
      <w:r w:rsidRPr="001F6527">
        <w:rPr>
          <w:rFonts w:asciiTheme="minorHAnsi" w:hAnsiTheme="minorHAnsi"/>
          <w:sz w:val="16"/>
        </w:rPr>
        <w:t>, now phased out.</w:t>
      </w:r>
      <w:r w:rsidRPr="001F6527">
        <w:rPr>
          <w:sz w:val="16"/>
        </w:rPr>
        <w:t xml:space="preserve"> </w:t>
      </w:r>
    </w:p>
  </w:footnote>
  <w:footnote w:id="7">
    <w:p w14:paraId="690B5E3F" w14:textId="1994C68E" w:rsidR="000B5F02" w:rsidRDefault="000B5F02" w:rsidP="000B5F02">
      <w:pPr>
        <w:pStyle w:val="FootnoteText"/>
      </w:pPr>
      <w:r>
        <w:rPr>
          <w:rStyle w:val="FootnoteReference"/>
        </w:rPr>
        <w:footnoteRef/>
      </w:r>
      <w:r w:rsidR="00E61A24">
        <w:t xml:space="preserve"> </w:t>
      </w:r>
      <w:hyperlink r:id="rId3" w:history="1">
        <w:r w:rsidR="00E61A24" w:rsidRPr="004934C4">
          <w:rPr>
            <w:rStyle w:val="Hyperlink"/>
          </w:rPr>
          <w:t>https://inspire.ec.europa.eu/countryfiche</w:t>
        </w:r>
      </w:hyperlink>
      <w:r w:rsidR="00E61A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DC1C" w14:textId="77777777" w:rsidR="009F6400" w:rsidRDefault="009F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2B46" w14:textId="587B3044" w:rsidR="001216A9" w:rsidRPr="00B94D28" w:rsidRDefault="001216A9" w:rsidP="00B94D28">
    <w:pPr>
      <w:pStyle w:val="Header"/>
      <w:jc w:val="right"/>
      <w:rPr>
        <w:lang w:val="fr-BE"/>
      </w:rPr>
    </w:pPr>
    <w:r>
      <w:rPr>
        <w:lang w:val="fr-BE"/>
      </w:rPr>
      <w:t>MIG/</w:t>
    </w:r>
    <w:r w:rsidR="00D556EA">
      <w:rPr>
        <w:lang w:val="fr-BE"/>
      </w:rPr>
      <w:t>10</w:t>
    </w:r>
    <w:r>
      <w:rPr>
        <w:lang w:val="fr-BE"/>
      </w:rPr>
      <w:t>/201</w:t>
    </w:r>
    <w:r w:rsidR="00D556EA">
      <w:rPr>
        <w:lang w:val="fr-BE"/>
      </w:rPr>
      <w:t>9</w:t>
    </w:r>
    <w:r>
      <w:rPr>
        <w:lang w:val="fr-BE"/>
      </w:rPr>
      <w:t>/DOC</w:t>
    </w:r>
    <w:r w:rsidR="006F2F76">
      <w:rPr>
        <w:lang w:val="fr-BE"/>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07FE" w14:textId="77777777" w:rsidR="009F6400" w:rsidRDefault="009F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909"/>
    <w:multiLevelType w:val="multilevel"/>
    <w:tmpl w:val="344CCE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0B7201"/>
    <w:multiLevelType w:val="multilevel"/>
    <w:tmpl w:val="C632FB62"/>
    <w:lvl w:ilvl="0">
      <w:start w:val="1"/>
      <w:numFmt w:val="decimal"/>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FF5DE8"/>
    <w:multiLevelType w:val="multilevel"/>
    <w:tmpl w:val="64DE31A0"/>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6E75C1"/>
    <w:multiLevelType w:val="hybridMultilevel"/>
    <w:tmpl w:val="A42A55C8"/>
    <w:lvl w:ilvl="0" w:tplc="7668169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215F47"/>
    <w:multiLevelType w:val="hybridMultilevel"/>
    <w:tmpl w:val="C8D41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lvlText w:val="(%2)"/>
      <w:lvlJc w:val="left"/>
      <w:pPr>
        <w:tabs>
          <w:tab w:val="num" w:pos="907"/>
        </w:tabs>
        <w:ind w:left="907" w:hanging="453"/>
      </w:pPr>
    </w:lvl>
    <w:lvl w:ilvl="2">
      <w:start w:val="1"/>
      <w:numFmt w:val="bullet"/>
      <w:lvlText w:val="–"/>
      <w:lvlJc w:val="left"/>
      <w:pPr>
        <w:tabs>
          <w:tab w:val="num" w:pos="1361"/>
        </w:tabs>
        <w:ind w:left="1361" w:hanging="454"/>
      </w:pPr>
      <w:rPr>
        <w:rFonts w:ascii="Times New Roman" w:hAnsi="Times New Roman"/>
      </w:rPr>
    </w:lvl>
    <w:lvl w:ilvl="3">
      <w:start w:val="1"/>
      <w:numFmt w:val="bullet"/>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427570B"/>
    <w:multiLevelType w:val="hybridMultilevel"/>
    <w:tmpl w:val="116A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21965"/>
    <w:multiLevelType w:val="hybridMultilevel"/>
    <w:tmpl w:val="FD1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54197"/>
    <w:multiLevelType w:val="hybridMultilevel"/>
    <w:tmpl w:val="1EE8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8286B"/>
    <w:multiLevelType w:val="multilevel"/>
    <w:tmpl w:val="AFB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65145E"/>
    <w:multiLevelType w:val="multilevel"/>
    <w:tmpl w:val="99861F62"/>
    <w:lvl w:ilvl="0">
      <w:start w:val="1"/>
      <w:numFmt w:val="decimal"/>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5"/>
  </w:num>
  <w:num w:numId="4">
    <w:abstractNumId w:val="10"/>
  </w:num>
  <w:num w:numId="5">
    <w:abstractNumId w:val="2"/>
  </w:num>
  <w:num w:numId="6">
    <w:abstractNumId w:val="7"/>
  </w:num>
  <w:num w:numId="7">
    <w:abstractNumId w:val="3"/>
  </w:num>
  <w:num w:numId="8">
    <w:abstractNumId w:val="8"/>
  </w:num>
  <w:num w:numId="9">
    <w:abstractNumId w:val="6"/>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CORRIGENDUM" w:val="&lt;UNUSED&gt;"/>
    <w:docVar w:name="LW_COVERPAGE_EXISTS" w:val="True"/>
    <w:docVar w:name="LW_COVERPAGE_GUID" w:val="4AEA2C5D-D526-4674-9172-1C4B3628101F"/>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05"/>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n the implementation of Directive 2007/2/EC of March 2007 establishing an Infrastructure for Spatial Information in the European Community (INSPIRE) pursuant to article 23"/>
    <w:docVar w:name="LW_TYPE.DOC.CP" w:val="REPORT FROM THE COMMISSION TO THE COUNCIL AND THE EUROPEAN PARLIAMENT"/>
  </w:docVars>
  <w:rsids>
    <w:rsidRoot w:val="001B3451"/>
    <w:rsid w:val="00002405"/>
    <w:rsid w:val="00003D2A"/>
    <w:rsid w:val="00010535"/>
    <w:rsid w:val="0001054B"/>
    <w:rsid w:val="00013793"/>
    <w:rsid w:val="00014A8C"/>
    <w:rsid w:val="00015AF0"/>
    <w:rsid w:val="00016E3E"/>
    <w:rsid w:val="00017242"/>
    <w:rsid w:val="00017EB5"/>
    <w:rsid w:val="0002513A"/>
    <w:rsid w:val="00025936"/>
    <w:rsid w:val="00025B6B"/>
    <w:rsid w:val="000317D4"/>
    <w:rsid w:val="0003304F"/>
    <w:rsid w:val="00033532"/>
    <w:rsid w:val="00033F51"/>
    <w:rsid w:val="000362AC"/>
    <w:rsid w:val="000364C4"/>
    <w:rsid w:val="0003690B"/>
    <w:rsid w:val="00037080"/>
    <w:rsid w:val="00037162"/>
    <w:rsid w:val="00037F67"/>
    <w:rsid w:val="00045388"/>
    <w:rsid w:val="000466EF"/>
    <w:rsid w:val="00046C32"/>
    <w:rsid w:val="00046F8E"/>
    <w:rsid w:val="00050E17"/>
    <w:rsid w:val="0005701D"/>
    <w:rsid w:val="00057E14"/>
    <w:rsid w:val="00060993"/>
    <w:rsid w:val="0006492A"/>
    <w:rsid w:val="00065775"/>
    <w:rsid w:val="00066EE6"/>
    <w:rsid w:val="000678B4"/>
    <w:rsid w:val="00070D9E"/>
    <w:rsid w:val="00074F21"/>
    <w:rsid w:val="00077131"/>
    <w:rsid w:val="000825EA"/>
    <w:rsid w:val="00082C8B"/>
    <w:rsid w:val="00087D9C"/>
    <w:rsid w:val="0009061E"/>
    <w:rsid w:val="0009133C"/>
    <w:rsid w:val="00096F4D"/>
    <w:rsid w:val="000A065D"/>
    <w:rsid w:val="000A2A1C"/>
    <w:rsid w:val="000B24C7"/>
    <w:rsid w:val="000B46A8"/>
    <w:rsid w:val="000B4988"/>
    <w:rsid w:val="000B4CD5"/>
    <w:rsid w:val="000B58B3"/>
    <w:rsid w:val="000B5AF2"/>
    <w:rsid w:val="000B5F02"/>
    <w:rsid w:val="000C27AC"/>
    <w:rsid w:val="000C39B4"/>
    <w:rsid w:val="000C3A1F"/>
    <w:rsid w:val="000C3FBE"/>
    <w:rsid w:val="000C5117"/>
    <w:rsid w:val="000C62BF"/>
    <w:rsid w:val="000C77F8"/>
    <w:rsid w:val="000C7C13"/>
    <w:rsid w:val="000D0AD1"/>
    <w:rsid w:val="000D1A9A"/>
    <w:rsid w:val="000D1B2E"/>
    <w:rsid w:val="000D21B1"/>
    <w:rsid w:val="000D5198"/>
    <w:rsid w:val="000E020C"/>
    <w:rsid w:val="000E0BD2"/>
    <w:rsid w:val="000E12B2"/>
    <w:rsid w:val="000E1F5F"/>
    <w:rsid w:val="000E5C49"/>
    <w:rsid w:val="000F4F3A"/>
    <w:rsid w:val="000F7360"/>
    <w:rsid w:val="001002E2"/>
    <w:rsid w:val="0010073D"/>
    <w:rsid w:val="00100C5E"/>
    <w:rsid w:val="0010255A"/>
    <w:rsid w:val="001114DD"/>
    <w:rsid w:val="0011210F"/>
    <w:rsid w:val="00112915"/>
    <w:rsid w:val="001162F4"/>
    <w:rsid w:val="001216A9"/>
    <w:rsid w:val="00123F98"/>
    <w:rsid w:val="00126A87"/>
    <w:rsid w:val="00134B6F"/>
    <w:rsid w:val="00134B7D"/>
    <w:rsid w:val="00136AE2"/>
    <w:rsid w:val="001417B6"/>
    <w:rsid w:val="00141AED"/>
    <w:rsid w:val="001421A7"/>
    <w:rsid w:val="00143172"/>
    <w:rsid w:val="00143BE8"/>
    <w:rsid w:val="001445E7"/>
    <w:rsid w:val="00144A47"/>
    <w:rsid w:val="0014502F"/>
    <w:rsid w:val="00147094"/>
    <w:rsid w:val="0015004F"/>
    <w:rsid w:val="001513A2"/>
    <w:rsid w:val="00166E4A"/>
    <w:rsid w:val="00167A3C"/>
    <w:rsid w:val="00171244"/>
    <w:rsid w:val="00171C58"/>
    <w:rsid w:val="00172041"/>
    <w:rsid w:val="00172CC6"/>
    <w:rsid w:val="001735F9"/>
    <w:rsid w:val="00174119"/>
    <w:rsid w:val="001745F1"/>
    <w:rsid w:val="0017575F"/>
    <w:rsid w:val="0017743D"/>
    <w:rsid w:val="00187AD8"/>
    <w:rsid w:val="00192198"/>
    <w:rsid w:val="001946AD"/>
    <w:rsid w:val="00195D65"/>
    <w:rsid w:val="00197ABC"/>
    <w:rsid w:val="001A1BB8"/>
    <w:rsid w:val="001A1BFA"/>
    <w:rsid w:val="001A32ED"/>
    <w:rsid w:val="001A3593"/>
    <w:rsid w:val="001B1108"/>
    <w:rsid w:val="001B11B6"/>
    <w:rsid w:val="001B29BD"/>
    <w:rsid w:val="001B3093"/>
    <w:rsid w:val="001B3451"/>
    <w:rsid w:val="001B5F01"/>
    <w:rsid w:val="001B7D26"/>
    <w:rsid w:val="001C420C"/>
    <w:rsid w:val="001C7B32"/>
    <w:rsid w:val="001D03FF"/>
    <w:rsid w:val="001D1087"/>
    <w:rsid w:val="001D1297"/>
    <w:rsid w:val="001D2F12"/>
    <w:rsid w:val="001E2667"/>
    <w:rsid w:val="001E5364"/>
    <w:rsid w:val="001E6674"/>
    <w:rsid w:val="001E7FF1"/>
    <w:rsid w:val="001F0FE3"/>
    <w:rsid w:val="001F2BF0"/>
    <w:rsid w:val="001F35DC"/>
    <w:rsid w:val="001F58D7"/>
    <w:rsid w:val="001F6527"/>
    <w:rsid w:val="00201692"/>
    <w:rsid w:val="002029F1"/>
    <w:rsid w:val="002049A1"/>
    <w:rsid w:val="00210FA2"/>
    <w:rsid w:val="002126C8"/>
    <w:rsid w:val="00214002"/>
    <w:rsid w:val="00216C39"/>
    <w:rsid w:val="0022089F"/>
    <w:rsid w:val="00220DE0"/>
    <w:rsid w:val="00221F61"/>
    <w:rsid w:val="00221FE8"/>
    <w:rsid w:val="00224AE1"/>
    <w:rsid w:val="0022664F"/>
    <w:rsid w:val="00226B72"/>
    <w:rsid w:val="00232359"/>
    <w:rsid w:val="0023288B"/>
    <w:rsid w:val="00234D0B"/>
    <w:rsid w:val="00236FD1"/>
    <w:rsid w:val="00240633"/>
    <w:rsid w:val="002411F9"/>
    <w:rsid w:val="00241625"/>
    <w:rsid w:val="002510A2"/>
    <w:rsid w:val="00251ECB"/>
    <w:rsid w:val="002538A6"/>
    <w:rsid w:val="00253A9E"/>
    <w:rsid w:val="0025609F"/>
    <w:rsid w:val="00257C92"/>
    <w:rsid w:val="00260258"/>
    <w:rsid w:val="00261C9A"/>
    <w:rsid w:val="00261FC1"/>
    <w:rsid w:val="002620EF"/>
    <w:rsid w:val="00262381"/>
    <w:rsid w:val="002647A9"/>
    <w:rsid w:val="00277E80"/>
    <w:rsid w:val="0028041E"/>
    <w:rsid w:val="00280D8C"/>
    <w:rsid w:val="002827FF"/>
    <w:rsid w:val="00282EF6"/>
    <w:rsid w:val="00283F66"/>
    <w:rsid w:val="00285950"/>
    <w:rsid w:val="0028781E"/>
    <w:rsid w:val="00287E97"/>
    <w:rsid w:val="0029081B"/>
    <w:rsid w:val="00290D46"/>
    <w:rsid w:val="00294276"/>
    <w:rsid w:val="002A554D"/>
    <w:rsid w:val="002A63DB"/>
    <w:rsid w:val="002A7768"/>
    <w:rsid w:val="002B0698"/>
    <w:rsid w:val="002B3927"/>
    <w:rsid w:val="002B4370"/>
    <w:rsid w:val="002C1AC5"/>
    <w:rsid w:val="002C3B78"/>
    <w:rsid w:val="002C405F"/>
    <w:rsid w:val="002C49EB"/>
    <w:rsid w:val="002C4E60"/>
    <w:rsid w:val="002D1BFF"/>
    <w:rsid w:val="002D323F"/>
    <w:rsid w:val="002D58E1"/>
    <w:rsid w:val="002D7B0E"/>
    <w:rsid w:val="002E20F2"/>
    <w:rsid w:val="002E3B88"/>
    <w:rsid w:val="002E45C4"/>
    <w:rsid w:val="002E4C7B"/>
    <w:rsid w:val="002E6FC0"/>
    <w:rsid w:val="002F2304"/>
    <w:rsid w:val="002F49F3"/>
    <w:rsid w:val="002F62CB"/>
    <w:rsid w:val="002F70AE"/>
    <w:rsid w:val="00302CAD"/>
    <w:rsid w:val="003059CA"/>
    <w:rsid w:val="003076B5"/>
    <w:rsid w:val="00311664"/>
    <w:rsid w:val="003124CB"/>
    <w:rsid w:val="00312DB3"/>
    <w:rsid w:val="00316DF2"/>
    <w:rsid w:val="00320545"/>
    <w:rsid w:val="003209F9"/>
    <w:rsid w:val="00321696"/>
    <w:rsid w:val="00322AF0"/>
    <w:rsid w:val="0032611C"/>
    <w:rsid w:val="003265D0"/>
    <w:rsid w:val="0032701A"/>
    <w:rsid w:val="00331834"/>
    <w:rsid w:val="00334094"/>
    <w:rsid w:val="00334530"/>
    <w:rsid w:val="003362B4"/>
    <w:rsid w:val="00336928"/>
    <w:rsid w:val="00342202"/>
    <w:rsid w:val="003439C8"/>
    <w:rsid w:val="00344022"/>
    <w:rsid w:val="003529BF"/>
    <w:rsid w:val="00352AFF"/>
    <w:rsid w:val="0035495D"/>
    <w:rsid w:val="00355891"/>
    <w:rsid w:val="00356699"/>
    <w:rsid w:val="003605E2"/>
    <w:rsid w:val="00361EA1"/>
    <w:rsid w:val="003633F8"/>
    <w:rsid w:val="003654A9"/>
    <w:rsid w:val="003677DB"/>
    <w:rsid w:val="00371CAE"/>
    <w:rsid w:val="00375488"/>
    <w:rsid w:val="003809DD"/>
    <w:rsid w:val="003825A4"/>
    <w:rsid w:val="00383E2A"/>
    <w:rsid w:val="00385C79"/>
    <w:rsid w:val="003868B1"/>
    <w:rsid w:val="0039437B"/>
    <w:rsid w:val="003943CC"/>
    <w:rsid w:val="0039559A"/>
    <w:rsid w:val="00395932"/>
    <w:rsid w:val="00396311"/>
    <w:rsid w:val="003978AE"/>
    <w:rsid w:val="003A04FD"/>
    <w:rsid w:val="003A1BE1"/>
    <w:rsid w:val="003A2461"/>
    <w:rsid w:val="003A275C"/>
    <w:rsid w:val="003A36D4"/>
    <w:rsid w:val="003A3BB8"/>
    <w:rsid w:val="003A4A1D"/>
    <w:rsid w:val="003A4EF0"/>
    <w:rsid w:val="003A5705"/>
    <w:rsid w:val="003A653B"/>
    <w:rsid w:val="003A70B9"/>
    <w:rsid w:val="003A72C1"/>
    <w:rsid w:val="003B0420"/>
    <w:rsid w:val="003B0C3E"/>
    <w:rsid w:val="003B3690"/>
    <w:rsid w:val="003B45EB"/>
    <w:rsid w:val="003B4CFB"/>
    <w:rsid w:val="003B7DFC"/>
    <w:rsid w:val="003C02F0"/>
    <w:rsid w:val="003C11CF"/>
    <w:rsid w:val="003C33AD"/>
    <w:rsid w:val="003C6754"/>
    <w:rsid w:val="003D1AE8"/>
    <w:rsid w:val="003D321E"/>
    <w:rsid w:val="003D3F94"/>
    <w:rsid w:val="003D48A6"/>
    <w:rsid w:val="003D5034"/>
    <w:rsid w:val="003D5E91"/>
    <w:rsid w:val="003D706D"/>
    <w:rsid w:val="003E3719"/>
    <w:rsid w:val="003E55FC"/>
    <w:rsid w:val="003E6FB7"/>
    <w:rsid w:val="003F0840"/>
    <w:rsid w:val="003F0BF3"/>
    <w:rsid w:val="003F17D6"/>
    <w:rsid w:val="003F3E25"/>
    <w:rsid w:val="0040033C"/>
    <w:rsid w:val="004006D8"/>
    <w:rsid w:val="00400931"/>
    <w:rsid w:val="0040116D"/>
    <w:rsid w:val="0040344F"/>
    <w:rsid w:val="00405CAE"/>
    <w:rsid w:val="004107CB"/>
    <w:rsid w:val="0041108E"/>
    <w:rsid w:val="00412C54"/>
    <w:rsid w:val="00420515"/>
    <w:rsid w:val="0042763C"/>
    <w:rsid w:val="00427EFE"/>
    <w:rsid w:val="004300FA"/>
    <w:rsid w:val="00430A2E"/>
    <w:rsid w:val="00430C48"/>
    <w:rsid w:val="00431219"/>
    <w:rsid w:val="0043138E"/>
    <w:rsid w:val="00433ED1"/>
    <w:rsid w:val="00434F23"/>
    <w:rsid w:val="00436260"/>
    <w:rsid w:val="00437628"/>
    <w:rsid w:val="004400CB"/>
    <w:rsid w:val="00440A27"/>
    <w:rsid w:val="004421B6"/>
    <w:rsid w:val="00443936"/>
    <w:rsid w:val="004460F7"/>
    <w:rsid w:val="00446F2D"/>
    <w:rsid w:val="004475E2"/>
    <w:rsid w:val="00447923"/>
    <w:rsid w:val="00450DE0"/>
    <w:rsid w:val="00456933"/>
    <w:rsid w:val="0045728D"/>
    <w:rsid w:val="00457633"/>
    <w:rsid w:val="00457AA4"/>
    <w:rsid w:val="0046490F"/>
    <w:rsid w:val="004649E9"/>
    <w:rsid w:val="00464F23"/>
    <w:rsid w:val="004675FF"/>
    <w:rsid w:val="00470C0D"/>
    <w:rsid w:val="004712BB"/>
    <w:rsid w:val="00471B66"/>
    <w:rsid w:val="00472771"/>
    <w:rsid w:val="00477D66"/>
    <w:rsid w:val="004819F3"/>
    <w:rsid w:val="00485A90"/>
    <w:rsid w:val="0048704C"/>
    <w:rsid w:val="00487A7D"/>
    <w:rsid w:val="00492920"/>
    <w:rsid w:val="00495712"/>
    <w:rsid w:val="004A1206"/>
    <w:rsid w:val="004A5130"/>
    <w:rsid w:val="004A6873"/>
    <w:rsid w:val="004B125F"/>
    <w:rsid w:val="004B22F5"/>
    <w:rsid w:val="004B7541"/>
    <w:rsid w:val="004D31D6"/>
    <w:rsid w:val="004D6AB9"/>
    <w:rsid w:val="004D6C59"/>
    <w:rsid w:val="004D7963"/>
    <w:rsid w:val="004E215A"/>
    <w:rsid w:val="004E7493"/>
    <w:rsid w:val="004F4CBE"/>
    <w:rsid w:val="00502827"/>
    <w:rsid w:val="005068E2"/>
    <w:rsid w:val="00507358"/>
    <w:rsid w:val="00507A0E"/>
    <w:rsid w:val="00513F3E"/>
    <w:rsid w:val="00516351"/>
    <w:rsid w:val="005200A8"/>
    <w:rsid w:val="0052084F"/>
    <w:rsid w:val="005208AB"/>
    <w:rsid w:val="00521FF6"/>
    <w:rsid w:val="0052391C"/>
    <w:rsid w:val="00526C62"/>
    <w:rsid w:val="005279DD"/>
    <w:rsid w:val="005308C0"/>
    <w:rsid w:val="00532768"/>
    <w:rsid w:val="00534988"/>
    <w:rsid w:val="00535A51"/>
    <w:rsid w:val="005373C6"/>
    <w:rsid w:val="00540660"/>
    <w:rsid w:val="00542EFE"/>
    <w:rsid w:val="005441D3"/>
    <w:rsid w:val="005478A1"/>
    <w:rsid w:val="005535F6"/>
    <w:rsid w:val="005557B6"/>
    <w:rsid w:val="00557707"/>
    <w:rsid w:val="0056163C"/>
    <w:rsid w:val="00564DC7"/>
    <w:rsid w:val="00571516"/>
    <w:rsid w:val="00573B16"/>
    <w:rsid w:val="005754C3"/>
    <w:rsid w:val="005803E6"/>
    <w:rsid w:val="00580AE2"/>
    <w:rsid w:val="00581D02"/>
    <w:rsid w:val="00582FC1"/>
    <w:rsid w:val="0058487B"/>
    <w:rsid w:val="0058520D"/>
    <w:rsid w:val="00585301"/>
    <w:rsid w:val="0058623D"/>
    <w:rsid w:val="00586340"/>
    <w:rsid w:val="0059171D"/>
    <w:rsid w:val="00591CCF"/>
    <w:rsid w:val="00592874"/>
    <w:rsid w:val="005A027E"/>
    <w:rsid w:val="005A1071"/>
    <w:rsid w:val="005A1579"/>
    <w:rsid w:val="005A209F"/>
    <w:rsid w:val="005A32AE"/>
    <w:rsid w:val="005A541F"/>
    <w:rsid w:val="005A559E"/>
    <w:rsid w:val="005B012B"/>
    <w:rsid w:val="005B0231"/>
    <w:rsid w:val="005B0527"/>
    <w:rsid w:val="005B27E3"/>
    <w:rsid w:val="005B3962"/>
    <w:rsid w:val="005C0201"/>
    <w:rsid w:val="005C4559"/>
    <w:rsid w:val="005C520B"/>
    <w:rsid w:val="005C7925"/>
    <w:rsid w:val="005D0571"/>
    <w:rsid w:val="005D1805"/>
    <w:rsid w:val="005D3EF6"/>
    <w:rsid w:val="005D5CD8"/>
    <w:rsid w:val="005D6374"/>
    <w:rsid w:val="005D6468"/>
    <w:rsid w:val="005D7984"/>
    <w:rsid w:val="005E1312"/>
    <w:rsid w:val="005E4977"/>
    <w:rsid w:val="005E56B5"/>
    <w:rsid w:val="005E6783"/>
    <w:rsid w:val="005E6B98"/>
    <w:rsid w:val="005F0E2A"/>
    <w:rsid w:val="005F1070"/>
    <w:rsid w:val="005F208F"/>
    <w:rsid w:val="005F7F8C"/>
    <w:rsid w:val="0060160D"/>
    <w:rsid w:val="00601ED7"/>
    <w:rsid w:val="0060303C"/>
    <w:rsid w:val="0060687F"/>
    <w:rsid w:val="006078EB"/>
    <w:rsid w:val="00611038"/>
    <w:rsid w:val="00613CD2"/>
    <w:rsid w:val="00624943"/>
    <w:rsid w:val="0063249E"/>
    <w:rsid w:val="006337D0"/>
    <w:rsid w:val="00635CF3"/>
    <w:rsid w:val="0063769E"/>
    <w:rsid w:val="0064166F"/>
    <w:rsid w:val="00647DE0"/>
    <w:rsid w:val="0065065E"/>
    <w:rsid w:val="00651296"/>
    <w:rsid w:val="00652047"/>
    <w:rsid w:val="00652563"/>
    <w:rsid w:val="00653DAD"/>
    <w:rsid w:val="006621A0"/>
    <w:rsid w:val="00663A85"/>
    <w:rsid w:val="00663E51"/>
    <w:rsid w:val="00664087"/>
    <w:rsid w:val="00666D7F"/>
    <w:rsid w:val="00670FF6"/>
    <w:rsid w:val="00675302"/>
    <w:rsid w:val="006814C4"/>
    <w:rsid w:val="00683155"/>
    <w:rsid w:val="0068346F"/>
    <w:rsid w:val="006839A2"/>
    <w:rsid w:val="0069666A"/>
    <w:rsid w:val="006A1404"/>
    <w:rsid w:val="006A3192"/>
    <w:rsid w:val="006A36A5"/>
    <w:rsid w:val="006A45E8"/>
    <w:rsid w:val="006A4EDD"/>
    <w:rsid w:val="006A4F76"/>
    <w:rsid w:val="006A683F"/>
    <w:rsid w:val="006A6E0D"/>
    <w:rsid w:val="006A7928"/>
    <w:rsid w:val="006A7FBA"/>
    <w:rsid w:val="006B17BF"/>
    <w:rsid w:val="006C150A"/>
    <w:rsid w:val="006C1CAE"/>
    <w:rsid w:val="006C20ED"/>
    <w:rsid w:val="006C2A82"/>
    <w:rsid w:val="006C2AE1"/>
    <w:rsid w:val="006C374D"/>
    <w:rsid w:val="006C4A08"/>
    <w:rsid w:val="006C6615"/>
    <w:rsid w:val="006C7ABD"/>
    <w:rsid w:val="006D3B08"/>
    <w:rsid w:val="006D63CD"/>
    <w:rsid w:val="006D6D4E"/>
    <w:rsid w:val="006D78C2"/>
    <w:rsid w:val="006D7B9E"/>
    <w:rsid w:val="006E267F"/>
    <w:rsid w:val="006E60B0"/>
    <w:rsid w:val="006E6851"/>
    <w:rsid w:val="006F2590"/>
    <w:rsid w:val="006F2F76"/>
    <w:rsid w:val="006F60BF"/>
    <w:rsid w:val="006F6231"/>
    <w:rsid w:val="006F6267"/>
    <w:rsid w:val="006F7833"/>
    <w:rsid w:val="006F7B3E"/>
    <w:rsid w:val="00701629"/>
    <w:rsid w:val="007019A4"/>
    <w:rsid w:val="00701B2D"/>
    <w:rsid w:val="00704B10"/>
    <w:rsid w:val="00710F5F"/>
    <w:rsid w:val="0071139F"/>
    <w:rsid w:val="007148E1"/>
    <w:rsid w:val="0071702F"/>
    <w:rsid w:val="007174B2"/>
    <w:rsid w:val="00721DB3"/>
    <w:rsid w:val="00722E0F"/>
    <w:rsid w:val="00723B27"/>
    <w:rsid w:val="00724419"/>
    <w:rsid w:val="00724881"/>
    <w:rsid w:val="00727A53"/>
    <w:rsid w:val="00731037"/>
    <w:rsid w:val="007353CF"/>
    <w:rsid w:val="00735763"/>
    <w:rsid w:val="00735DE4"/>
    <w:rsid w:val="00736180"/>
    <w:rsid w:val="007373F9"/>
    <w:rsid w:val="007414AC"/>
    <w:rsid w:val="00744749"/>
    <w:rsid w:val="00744F58"/>
    <w:rsid w:val="007452E9"/>
    <w:rsid w:val="0075364F"/>
    <w:rsid w:val="00754658"/>
    <w:rsid w:val="007614E8"/>
    <w:rsid w:val="00772E4A"/>
    <w:rsid w:val="007745D4"/>
    <w:rsid w:val="00776668"/>
    <w:rsid w:val="00776A56"/>
    <w:rsid w:val="00783792"/>
    <w:rsid w:val="00783EF2"/>
    <w:rsid w:val="00787A91"/>
    <w:rsid w:val="00791AE6"/>
    <w:rsid w:val="007928A9"/>
    <w:rsid w:val="00792C58"/>
    <w:rsid w:val="007930F6"/>
    <w:rsid w:val="007966AD"/>
    <w:rsid w:val="007A1ECE"/>
    <w:rsid w:val="007A522D"/>
    <w:rsid w:val="007A7011"/>
    <w:rsid w:val="007A764E"/>
    <w:rsid w:val="007A7958"/>
    <w:rsid w:val="007B206A"/>
    <w:rsid w:val="007B6E66"/>
    <w:rsid w:val="007B6F5D"/>
    <w:rsid w:val="007C056E"/>
    <w:rsid w:val="007C1A0C"/>
    <w:rsid w:val="007C3604"/>
    <w:rsid w:val="007C5D00"/>
    <w:rsid w:val="007C74D6"/>
    <w:rsid w:val="007D100B"/>
    <w:rsid w:val="007D2160"/>
    <w:rsid w:val="007D264D"/>
    <w:rsid w:val="007D3809"/>
    <w:rsid w:val="007D4B9A"/>
    <w:rsid w:val="007D69D0"/>
    <w:rsid w:val="007D71BD"/>
    <w:rsid w:val="007D7A63"/>
    <w:rsid w:val="007E066E"/>
    <w:rsid w:val="007E27FF"/>
    <w:rsid w:val="007E3301"/>
    <w:rsid w:val="007E3AE1"/>
    <w:rsid w:val="007E3C70"/>
    <w:rsid w:val="007E67B3"/>
    <w:rsid w:val="007E740E"/>
    <w:rsid w:val="007F01C8"/>
    <w:rsid w:val="007F02C0"/>
    <w:rsid w:val="007F06E8"/>
    <w:rsid w:val="007F1DCD"/>
    <w:rsid w:val="007F25BF"/>
    <w:rsid w:val="007F4075"/>
    <w:rsid w:val="007F4646"/>
    <w:rsid w:val="007F57A6"/>
    <w:rsid w:val="007F67EA"/>
    <w:rsid w:val="00802758"/>
    <w:rsid w:val="00804194"/>
    <w:rsid w:val="00810635"/>
    <w:rsid w:val="00817C5A"/>
    <w:rsid w:val="0082131B"/>
    <w:rsid w:val="008219C6"/>
    <w:rsid w:val="0082335D"/>
    <w:rsid w:val="008252DD"/>
    <w:rsid w:val="00827600"/>
    <w:rsid w:val="008307B0"/>
    <w:rsid w:val="00832FB7"/>
    <w:rsid w:val="008330DD"/>
    <w:rsid w:val="008344C2"/>
    <w:rsid w:val="008347E3"/>
    <w:rsid w:val="008358C3"/>
    <w:rsid w:val="0083783D"/>
    <w:rsid w:val="00837FEC"/>
    <w:rsid w:val="008411FF"/>
    <w:rsid w:val="00842F4D"/>
    <w:rsid w:val="00844131"/>
    <w:rsid w:val="0084473F"/>
    <w:rsid w:val="008478C1"/>
    <w:rsid w:val="00853C05"/>
    <w:rsid w:val="0085411A"/>
    <w:rsid w:val="008556DF"/>
    <w:rsid w:val="00856216"/>
    <w:rsid w:val="00857E76"/>
    <w:rsid w:val="008619BB"/>
    <w:rsid w:val="00864FD1"/>
    <w:rsid w:val="00867D06"/>
    <w:rsid w:val="00871339"/>
    <w:rsid w:val="00871844"/>
    <w:rsid w:val="008721EB"/>
    <w:rsid w:val="0087372A"/>
    <w:rsid w:val="00874248"/>
    <w:rsid w:val="00874D62"/>
    <w:rsid w:val="00875E8A"/>
    <w:rsid w:val="00876E6D"/>
    <w:rsid w:val="00876E9A"/>
    <w:rsid w:val="008840B4"/>
    <w:rsid w:val="008840EF"/>
    <w:rsid w:val="00886C5F"/>
    <w:rsid w:val="00887B0A"/>
    <w:rsid w:val="0089166D"/>
    <w:rsid w:val="00892F60"/>
    <w:rsid w:val="0089306E"/>
    <w:rsid w:val="008958FA"/>
    <w:rsid w:val="00895C79"/>
    <w:rsid w:val="00897DA5"/>
    <w:rsid w:val="008A60C9"/>
    <w:rsid w:val="008A75E4"/>
    <w:rsid w:val="008A7AE0"/>
    <w:rsid w:val="008B0303"/>
    <w:rsid w:val="008B0D61"/>
    <w:rsid w:val="008B3EEE"/>
    <w:rsid w:val="008B5D00"/>
    <w:rsid w:val="008B7C0B"/>
    <w:rsid w:val="008C0385"/>
    <w:rsid w:val="008C34E6"/>
    <w:rsid w:val="008C6330"/>
    <w:rsid w:val="008D2682"/>
    <w:rsid w:val="008D7B3B"/>
    <w:rsid w:val="008D7CF7"/>
    <w:rsid w:val="008E5704"/>
    <w:rsid w:val="008F0A08"/>
    <w:rsid w:val="008F2D31"/>
    <w:rsid w:val="008F6C55"/>
    <w:rsid w:val="00900867"/>
    <w:rsid w:val="009008DE"/>
    <w:rsid w:val="00905A87"/>
    <w:rsid w:val="009066D4"/>
    <w:rsid w:val="00907DB1"/>
    <w:rsid w:val="00912F42"/>
    <w:rsid w:val="0091302D"/>
    <w:rsid w:val="00915C8C"/>
    <w:rsid w:val="009176B8"/>
    <w:rsid w:val="00921EFE"/>
    <w:rsid w:val="009273F8"/>
    <w:rsid w:val="0092799F"/>
    <w:rsid w:val="009416CF"/>
    <w:rsid w:val="00941DC6"/>
    <w:rsid w:val="00943AD0"/>
    <w:rsid w:val="00945E6C"/>
    <w:rsid w:val="009501C1"/>
    <w:rsid w:val="00952532"/>
    <w:rsid w:val="009539A1"/>
    <w:rsid w:val="00956185"/>
    <w:rsid w:val="00962EC2"/>
    <w:rsid w:val="00963B27"/>
    <w:rsid w:val="00965151"/>
    <w:rsid w:val="00965B13"/>
    <w:rsid w:val="00970CF7"/>
    <w:rsid w:val="0097469B"/>
    <w:rsid w:val="00980683"/>
    <w:rsid w:val="00982AD3"/>
    <w:rsid w:val="009850E2"/>
    <w:rsid w:val="00985365"/>
    <w:rsid w:val="00985886"/>
    <w:rsid w:val="00990224"/>
    <w:rsid w:val="00991A87"/>
    <w:rsid w:val="00994B3D"/>
    <w:rsid w:val="0099516D"/>
    <w:rsid w:val="00995F63"/>
    <w:rsid w:val="009968DC"/>
    <w:rsid w:val="009A1FB7"/>
    <w:rsid w:val="009A33EB"/>
    <w:rsid w:val="009A5BBD"/>
    <w:rsid w:val="009B082E"/>
    <w:rsid w:val="009B1A63"/>
    <w:rsid w:val="009B254A"/>
    <w:rsid w:val="009B2E3A"/>
    <w:rsid w:val="009C1C3C"/>
    <w:rsid w:val="009C3322"/>
    <w:rsid w:val="009C3D28"/>
    <w:rsid w:val="009C4D4A"/>
    <w:rsid w:val="009C4DED"/>
    <w:rsid w:val="009D135F"/>
    <w:rsid w:val="009D263A"/>
    <w:rsid w:val="009D6B57"/>
    <w:rsid w:val="009D74EA"/>
    <w:rsid w:val="009E21DF"/>
    <w:rsid w:val="009E3D5A"/>
    <w:rsid w:val="009E40D4"/>
    <w:rsid w:val="009E707D"/>
    <w:rsid w:val="009F4723"/>
    <w:rsid w:val="009F4E41"/>
    <w:rsid w:val="009F4F70"/>
    <w:rsid w:val="009F4FDA"/>
    <w:rsid w:val="009F5438"/>
    <w:rsid w:val="009F5C63"/>
    <w:rsid w:val="009F6400"/>
    <w:rsid w:val="009F6634"/>
    <w:rsid w:val="009F6AA2"/>
    <w:rsid w:val="009F6AF3"/>
    <w:rsid w:val="00A0038E"/>
    <w:rsid w:val="00A005ED"/>
    <w:rsid w:val="00A109B0"/>
    <w:rsid w:val="00A10BA6"/>
    <w:rsid w:val="00A112F4"/>
    <w:rsid w:val="00A122E9"/>
    <w:rsid w:val="00A14F63"/>
    <w:rsid w:val="00A16C46"/>
    <w:rsid w:val="00A22C72"/>
    <w:rsid w:val="00A259C6"/>
    <w:rsid w:val="00A259D1"/>
    <w:rsid w:val="00A2674F"/>
    <w:rsid w:val="00A268DA"/>
    <w:rsid w:val="00A27FE0"/>
    <w:rsid w:val="00A3006E"/>
    <w:rsid w:val="00A30786"/>
    <w:rsid w:val="00A33C12"/>
    <w:rsid w:val="00A368A9"/>
    <w:rsid w:val="00A4091C"/>
    <w:rsid w:val="00A418ED"/>
    <w:rsid w:val="00A4580C"/>
    <w:rsid w:val="00A45DBD"/>
    <w:rsid w:val="00A468D5"/>
    <w:rsid w:val="00A52965"/>
    <w:rsid w:val="00A53C41"/>
    <w:rsid w:val="00A5664E"/>
    <w:rsid w:val="00A56E20"/>
    <w:rsid w:val="00A601E6"/>
    <w:rsid w:val="00A62899"/>
    <w:rsid w:val="00A64FC5"/>
    <w:rsid w:val="00A66460"/>
    <w:rsid w:val="00A712C4"/>
    <w:rsid w:val="00A72180"/>
    <w:rsid w:val="00A745DD"/>
    <w:rsid w:val="00A74B0D"/>
    <w:rsid w:val="00A75CA8"/>
    <w:rsid w:val="00A876BB"/>
    <w:rsid w:val="00A90646"/>
    <w:rsid w:val="00A93151"/>
    <w:rsid w:val="00A945FB"/>
    <w:rsid w:val="00A9615A"/>
    <w:rsid w:val="00A96638"/>
    <w:rsid w:val="00A96FE4"/>
    <w:rsid w:val="00A979DE"/>
    <w:rsid w:val="00AA5A95"/>
    <w:rsid w:val="00AB0411"/>
    <w:rsid w:val="00AB37B3"/>
    <w:rsid w:val="00AB5657"/>
    <w:rsid w:val="00AB68A8"/>
    <w:rsid w:val="00AC1375"/>
    <w:rsid w:val="00AC19AD"/>
    <w:rsid w:val="00AD1AA8"/>
    <w:rsid w:val="00AD4F8B"/>
    <w:rsid w:val="00AD5323"/>
    <w:rsid w:val="00AE0265"/>
    <w:rsid w:val="00AE49DE"/>
    <w:rsid w:val="00AE51E8"/>
    <w:rsid w:val="00AE7AB0"/>
    <w:rsid w:val="00AE7F87"/>
    <w:rsid w:val="00AF116E"/>
    <w:rsid w:val="00AF1CC7"/>
    <w:rsid w:val="00AF299F"/>
    <w:rsid w:val="00AF3656"/>
    <w:rsid w:val="00AF406B"/>
    <w:rsid w:val="00B01BB0"/>
    <w:rsid w:val="00B01E08"/>
    <w:rsid w:val="00B03CCE"/>
    <w:rsid w:val="00B03CF6"/>
    <w:rsid w:val="00B07511"/>
    <w:rsid w:val="00B10CC8"/>
    <w:rsid w:val="00B15204"/>
    <w:rsid w:val="00B15253"/>
    <w:rsid w:val="00B15F8C"/>
    <w:rsid w:val="00B200CE"/>
    <w:rsid w:val="00B204E8"/>
    <w:rsid w:val="00B23B1B"/>
    <w:rsid w:val="00B25D0F"/>
    <w:rsid w:val="00B26B70"/>
    <w:rsid w:val="00B3041C"/>
    <w:rsid w:val="00B322BC"/>
    <w:rsid w:val="00B324A7"/>
    <w:rsid w:val="00B33407"/>
    <w:rsid w:val="00B3466C"/>
    <w:rsid w:val="00B374D7"/>
    <w:rsid w:val="00B37A65"/>
    <w:rsid w:val="00B40A66"/>
    <w:rsid w:val="00B4152B"/>
    <w:rsid w:val="00B41EBF"/>
    <w:rsid w:val="00B47F69"/>
    <w:rsid w:val="00B505C5"/>
    <w:rsid w:val="00B51FD5"/>
    <w:rsid w:val="00B543DB"/>
    <w:rsid w:val="00B55657"/>
    <w:rsid w:val="00B609ED"/>
    <w:rsid w:val="00B60EA2"/>
    <w:rsid w:val="00B60F11"/>
    <w:rsid w:val="00B62243"/>
    <w:rsid w:val="00B62F77"/>
    <w:rsid w:val="00B64269"/>
    <w:rsid w:val="00B64D04"/>
    <w:rsid w:val="00B65AC9"/>
    <w:rsid w:val="00B667CE"/>
    <w:rsid w:val="00B72237"/>
    <w:rsid w:val="00B73CE3"/>
    <w:rsid w:val="00B75493"/>
    <w:rsid w:val="00B84284"/>
    <w:rsid w:val="00B85041"/>
    <w:rsid w:val="00B87E6B"/>
    <w:rsid w:val="00B90575"/>
    <w:rsid w:val="00B94D28"/>
    <w:rsid w:val="00B964F7"/>
    <w:rsid w:val="00BA0734"/>
    <w:rsid w:val="00BA1758"/>
    <w:rsid w:val="00BA477A"/>
    <w:rsid w:val="00BB1811"/>
    <w:rsid w:val="00BB2471"/>
    <w:rsid w:val="00BB518F"/>
    <w:rsid w:val="00BC3A89"/>
    <w:rsid w:val="00BC4CD5"/>
    <w:rsid w:val="00BC631D"/>
    <w:rsid w:val="00BC6E3F"/>
    <w:rsid w:val="00BC7765"/>
    <w:rsid w:val="00BD12DA"/>
    <w:rsid w:val="00BD4ACD"/>
    <w:rsid w:val="00BD4F0C"/>
    <w:rsid w:val="00BD6806"/>
    <w:rsid w:val="00BD7517"/>
    <w:rsid w:val="00BE05DB"/>
    <w:rsid w:val="00BE44FE"/>
    <w:rsid w:val="00BE4913"/>
    <w:rsid w:val="00BF2BD9"/>
    <w:rsid w:val="00BF2D23"/>
    <w:rsid w:val="00BF4E32"/>
    <w:rsid w:val="00BF595C"/>
    <w:rsid w:val="00BF795D"/>
    <w:rsid w:val="00C002A1"/>
    <w:rsid w:val="00C00686"/>
    <w:rsid w:val="00C0269A"/>
    <w:rsid w:val="00C02DD1"/>
    <w:rsid w:val="00C031EB"/>
    <w:rsid w:val="00C03884"/>
    <w:rsid w:val="00C03B69"/>
    <w:rsid w:val="00C05961"/>
    <w:rsid w:val="00C0655C"/>
    <w:rsid w:val="00C068A3"/>
    <w:rsid w:val="00C15BA5"/>
    <w:rsid w:val="00C17061"/>
    <w:rsid w:val="00C2037C"/>
    <w:rsid w:val="00C22392"/>
    <w:rsid w:val="00C227E9"/>
    <w:rsid w:val="00C23E90"/>
    <w:rsid w:val="00C24B4A"/>
    <w:rsid w:val="00C24D40"/>
    <w:rsid w:val="00C24EF7"/>
    <w:rsid w:val="00C26380"/>
    <w:rsid w:val="00C26866"/>
    <w:rsid w:val="00C30327"/>
    <w:rsid w:val="00C30D2A"/>
    <w:rsid w:val="00C3116F"/>
    <w:rsid w:val="00C32D31"/>
    <w:rsid w:val="00C33904"/>
    <w:rsid w:val="00C37BFD"/>
    <w:rsid w:val="00C41187"/>
    <w:rsid w:val="00C42955"/>
    <w:rsid w:val="00C42C5A"/>
    <w:rsid w:val="00C43CF7"/>
    <w:rsid w:val="00C44D4D"/>
    <w:rsid w:val="00C45827"/>
    <w:rsid w:val="00C45ADD"/>
    <w:rsid w:val="00C4624D"/>
    <w:rsid w:val="00C464F8"/>
    <w:rsid w:val="00C52587"/>
    <w:rsid w:val="00C529B3"/>
    <w:rsid w:val="00C53C80"/>
    <w:rsid w:val="00C545BD"/>
    <w:rsid w:val="00C5545B"/>
    <w:rsid w:val="00C55DBF"/>
    <w:rsid w:val="00C61867"/>
    <w:rsid w:val="00C62203"/>
    <w:rsid w:val="00C622CC"/>
    <w:rsid w:val="00C63D2C"/>
    <w:rsid w:val="00C64F40"/>
    <w:rsid w:val="00C6580E"/>
    <w:rsid w:val="00C66965"/>
    <w:rsid w:val="00C721C5"/>
    <w:rsid w:val="00C73D55"/>
    <w:rsid w:val="00C74368"/>
    <w:rsid w:val="00C804C0"/>
    <w:rsid w:val="00C81D34"/>
    <w:rsid w:val="00C82BDD"/>
    <w:rsid w:val="00C83EEE"/>
    <w:rsid w:val="00C8497E"/>
    <w:rsid w:val="00C91843"/>
    <w:rsid w:val="00C93513"/>
    <w:rsid w:val="00C93F85"/>
    <w:rsid w:val="00C95A5C"/>
    <w:rsid w:val="00CA1FA5"/>
    <w:rsid w:val="00CA22EC"/>
    <w:rsid w:val="00CB44BD"/>
    <w:rsid w:val="00CC0045"/>
    <w:rsid w:val="00CC1B86"/>
    <w:rsid w:val="00CC4FF8"/>
    <w:rsid w:val="00CC6C1E"/>
    <w:rsid w:val="00CC714E"/>
    <w:rsid w:val="00CC7F48"/>
    <w:rsid w:val="00CD6190"/>
    <w:rsid w:val="00CE0A54"/>
    <w:rsid w:val="00CE52EE"/>
    <w:rsid w:val="00CE53C6"/>
    <w:rsid w:val="00CE708A"/>
    <w:rsid w:val="00CF15ED"/>
    <w:rsid w:val="00CF6F1B"/>
    <w:rsid w:val="00CF7DFA"/>
    <w:rsid w:val="00D018FE"/>
    <w:rsid w:val="00D01E58"/>
    <w:rsid w:val="00D02086"/>
    <w:rsid w:val="00D038D2"/>
    <w:rsid w:val="00D065EF"/>
    <w:rsid w:val="00D06C75"/>
    <w:rsid w:val="00D06F3D"/>
    <w:rsid w:val="00D07113"/>
    <w:rsid w:val="00D149A0"/>
    <w:rsid w:val="00D149F2"/>
    <w:rsid w:val="00D21695"/>
    <w:rsid w:val="00D21E68"/>
    <w:rsid w:val="00D21EFE"/>
    <w:rsid w:val="00D231FB"/>
    <w:rsid w:val="00D2662E"/>
    <w:rsid w:val="00D30C0A"/>
    <w:rsid w:val="00D32968"/>
    <w:rsid w:val="00D366C3"/>
    <w:rsid w:val="00D36A23"/>
    <w:rsid w:val="00D36F9F"/>
    <w:rsid w:val="00D37AF8"/>
    <w:rsid w:val="00D41F64"/>
    <w:rsid w:val="00D424E5"/>
    <w:rsid w:val="00D4282F"/>
    <w:rsid w:val="00D43B87"/>
    <w:rsid w:val="00D43C5E"/>
    <w:rsid w:val="00D467D0"/>
    <w:rsid w:val="00D467F9"/>
    <w:rsid w:val="00D46AAE"/>
    <w:rsid w:val="00D508FB"/>
    <w:rsid w:val="00D526D3"/>
    <w:rsid w:val="00D556EA"/>
    <w:rsid w:val="00D57D5B"/>
    <w:rsid w:val="00D60AB5"/>
    <w:rsid w:val="00D61342"/>
    <w:rsid w:val="00D61EE4"/>
    <w:rsid w:val="00D63519"/>
    <w:rsid w:val="00D67B26"/>
    <w:rsid w:val="00D70097"/>
    <w:rsid w:val="00D70C1B"/>
    <w:rsid w:val="00D716CF"/>
    <w:rsid w:val="00D72C17"/>
    <w:rsid w:val="00D74103"/>
    <w:rsid w:val="00D76142"/>
    <w:rsid w:val="00D80405"/>
    <w:rsid w:val="00D825B9"/>
    <w:rsid w:val="00D84091"/>
    <w:rsid w:val="00D84AE3"/>
    <w:rsid w:val="00D853FE"/>
    <w:rsid w:val="00D8677D"/>
    <w:rsid w:val="00D9032A"/>
    <w:rsid w:val="00D94892"/>
    <w:rsid w:val="00D958E0"/>
    <w:rsid w:val="00D95F59"/>
    <w:rsid w:val="00DA01F0"/>
    <w:rsid w:val="00DA25C9"/>
    <w:rsid w:val="00DA2E5B"/>
    <w:rsid w:val="00DB0DF6"/>
    <w:rsid w:val="00DB71EC"/>
    <w:rsid w:val="00DB761A"/>
    <w:rsid w:val="00DB7FD1"/>
    <w:rsid w:val="00DC441B"/>
    <w:rsid w:val="00DC5C18"/>
    <w:rsid w:val="00DC7727"/>
    <w:rsid w:val="00DD2615"/>
    <w:rsid w:val="00DD4242"/>
    <w:rsid w:val="00DD4DEA"/>
    <w:rsid w:val="00DD69F0"/>
    <w:rsid w:val="00DE096A"/>
    <w:rsid w:val="00DE488C"/>
    <w:rsid w:val="00DE571C"/>
    <w:rsid w:val="00DF48BC"/>
    <w:rsid w:val="00DF55E0"/>
    <w:rsid w:val="00E015D2"/>
    <w:rsid w:val="00E04BA3"/>
    <w:rsid w:val="00E077FB"/>
    <w:rsid w:val="00E12E6B"/>
    <w:rsid w:val="00E13D7E"/>
    <w:rsid w:val="00E162CC"/>
    <w:rsid w:val="00E205A6"/>
    <w:rsid w:val="00E23367"/>
    <w:rsid w:val="00E24DD6"/>
    <w:rsid w:val="00E2500E"/>
    <w:rsid w:val="00E27F7E"/>
    <w:rsid w:val="00E303D8"/>
    <w:rsid w:val="00E30840"/>
    <w:rsid w:val="00E32246"/>
    <w:rsid w:val="00E3289B"/>
    <w:rsid w:val="00E3428C"/>
    <w:rsid w:val="00E345F9"/>
    <w:rsid w:val="00E357C4"/>
    <w:rsid w:val="00E35E66"/>
    <w:rsid w:val="00E4230F"/>
    <w:rsid w:val="00E43579"/>
    <w:rsid w:val="00E43D6F"/>
    <w:rsid w:val="00E45B86"/>
    <w:rsid w:val="00E5339B"/>
    <w:rsid w:val="00E57606"/>
    <w:rsid w:val="00E61758"/>
    <w:rsid w:val="00E61A24"/>
    <w:rsid w:val="00E62225"/>
    <w:rsid w:val="00E63CFC"/>
    <w:rsid w:val="00E643F1"/>
    <w:rsid w:val="00E70738"/>
    <w:rsid w:val="00E72643"/>
    <w:rsid w:val="00E72BDC"/>
    <w:rsid w:val="00E75E47"/>
    <w:rsid w:val="00E776F2"/>
    <w:rsid w:val="00E8418C"/>
    <w:rsid w:val="00E90655"/>
    <w:rsid w:val="00E91FF4"/>
    <w:rsid w:val="00EA3726"/>
    <w:rsid w:val="00EA42D7"/>
    <w:rsid w:val="00EA4888"/>
    <w:rsid w:val="00EA4E40"/>
    <w:rsid w:val="00EA53F8"/>
    <w:rsid w:val="00EA5F1B"/>
    <w:rsid w:val="00EA6675"/>
    <w:rsid w:val="00EB40D0"/>
    <w:rsid w:val="00EB54C1"/>
    <w:rsid w:val="00EB7F96"/>
    <w:rsid w:val="00EC2ADB"/>
    <w:rsid w:val="00EC2B3D"/>
    <w:rsid w:val="00EC32E9"/>
    <w:rsid w:val="00EC38E1"/>
    <w:rsid w:val="00ED06A5"/>
    <w:rsid w:val="00ED2A1A"/>
    <w:rsid w:val="00ED2D6D"/>
    <w:rsid w:val="00ED4FB4"/>
    <w:rsid w:val="00ED5247"/>
    <w:rsid w:val="00EE0E15"/>
    <w:rsid w:val="00EE0FCB"/>
    <w:rsid w:val="00EE168A"/>
    <w:rsid w:val="00EE2C0E"/>
    <w:rsid w:val="00EE352C"/>
    <w:rsid w:val="00EE44F1"/>
    <w:rsid w:val="00EE4B0A"/>
    <w:rsid w:val="00EE4FC2"/>
    <w:rsid w:val="00EE5B5B"/>
    <w:rsid w:val="00EE5E3B"/>
    <w:rsid w:val="00EE5FCD"/>
    <w:rsid w:val="00EF12DE"/>
    <w:rsid w:val="00EF33ED"/>
    <w:rsid w:val="00EF639F"/>
    <w:rsid w:val="00F07CA3"/>
    <w:rsid w:val="00F12962"/>
    <w:rsid w:val="00F13B37"/>
    <w:rsid w:val="00F16467"/>
    <w:rsid w:val="00F206DB"/>
    <w:rsid w:val="00F22A98"/>
    <w:rsid w:val="00F24208"/>
    <w:rsid w:val="00F24B01"/>
    <w:rsid w:val="00F26A3F"/>
    <w:rsid w:val="00F272E5"/>
    <w:rsid w:val="00F276D1"/>
    <w:rsid w:val="00F30242"/>
    <w:rsid w:val="00F33532"/>
    <w:rsid w:val="00F338FF"/>
    <w:rsid w:val="00F3584A"/>
    <w:rsid w:val="00F42FA6"/>
    <w:rsid w:val="00F43C18"/>
    <w:rsid w:val="00F45D01"/>
    <w:rsid w:val="00F57A44"/>
    <w:rsid w:val="00F61788"/>
    <w:rsid w:val="00F6633A"/>
    <w:rsid w:val="00F7024F"/>
    <w:rsid w:val="00F7055D"/>
    <w:rsid w:val="00F71209"/>
    <w:rsid w:val="00F80FE1"/>
    <w:rsid w:val="00F81B3D"/>
    <w:rsid w:val="00F82E7C"/>
    <w:rsid w:val="00F83EB5"/>
    <w:rsid w:val="00F862D7"/>
    <w:rsid w:val="00F86E86"/>
    <w:rsid w:val="00F87BCC"/>
    <w:rsid w:val="00F93B49"/>
    <w:rsid w:val="00F9500C"/>
    <w:rsid w:val="00F95C93"/>
    <w:rsid w:val="00F97E7A"/>
    <w:rsid w:val="00FA135D"/>
    <w:rsid w:val="00FA1391"/>
    <w:rsid w:val="00FA1F44"/>
    <w:rsid w:val="00FA39AC"/>
    <w:rsid w:val="00FA7FAC"/>
    <w:rsid w:val="00FB00DE"/>
    <w:rsid w:val="00FB18FB"/>
    <w:rsid w:val="00FB2975"/>
    <w:rsid w:val="00FB4B14"/>
    <w:rsid w:val="00FB729A"/>
    <w:rsid w:val="00FC051A"/>
    <w:rsid w:val="00FC2A07"/>
    <w:rsid w:val="00FC4EB6"/>
    <w:rsid w:val="00FC5FDA"/>
    <w:rsid w:val="00FC69D8"/>
    <w:rsid w:val="00FD4D68"/>
    <w:rsid w:val="00FD67B1"/>
    <w:rsid w:val="00FE3BB5"/>
    <w:rsid w:val="00FE3CAA"/>
    <w:rsid w:val="00FE4B75"/>
    <w:rsid w:val="00FE7960"/>
    <w:rsid w:val="00FF1B26"/>
    <w:rsid w:val="00FF444E"/>
    <w:rsid w:val="00FF54C7"/>
    <w:rsid w:val="00FF5E5B"/>
    <w:rsid w:val="00FF6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8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D3"/>
    <w:pPr>
      <w:spacing w:before="200" w:after="0"/>
    </w:pPr>
  </w:style>
  <w:style w:type="paragraph" w:styleId="Heading1">
    <w:name w:val="heading 1"/>
    <w:basedOn w:val="Normal"/>
    <w:next w:val="Normal"/>
    <w:link w:val="Heading1Char"/>
    <w:autoRedefine/>
    <w:uiPriority w:val="9"/>
    <w:qFormat/>
    <w:rsid w:val="00070D9E"/>
    <w:pPr>
      <w:keepNext/>
      <w:keepLines/>
      <w:numPr>
        <w:numId w:val="5"/>
      </w:numPr>
      <w:spacing w:before="240" w:after="240"/>
      <w:outlineLvl w:val="0"/>
    </w:pPr>
    <w:rPr>
      <w:rFonts w:cs="Arial"/>
      <w:b/>
      <w:sz w:val="28"/>
      <w:szCs w:val="20"/>
    </w:rPr>
  </w:style>
  <w:style w:type="paragraph" w:styleId="Heading2">
    <w:name w:val="heading 2"/>
    <w:basedOn w:val="Normal"/>
    <w:next w:val="Normal"/>
    <w:link w:val="Heading2Char"/>
    <w:autoRedefine/>
    <w:uiPriority w:val="9"/>
    <w:unhideWhenUsed/>
    <w:qFormat/>
    <w:rsid w:val="00C74368"/>
    <w:pPr>
      <w:keepNext/>
      <w:keepLines/>
      <w:numPr>
        <w:ilvl w:val="1"/>
        <w:numId w:val="4"/>
      </w:numPr>
      <w:spacing w:before="120" w:after="240"/>
      <w:outlineLvl w:val="1"/>
    </w:pPr>
    <w:rPr>
      <w:rFonts w:ascii="Arial" w:eastAsiaTheme="majorEastAsia" w:hAnsi="Arial" w:cs="Arial"/>
      <w:b/>
      <w:bCs/>
      <w:color w:val="000000" w:themeColor="text1"/>
      <w:sz w:val="24"/>
      <w:szCs w:val="26"/>
    </w:rPr>
  </w:style>
  <w:style w:type="paragraph" w:styleId="Heading3">
    <w:name w:val="heading 3"/>
    <w:basedOn w:val="Normal"/>
    <w:next w:val="Normal"/>
    <w:link w:val="Heading3Char"/>
    <w:uiPriority w:val="9"/>
    <w:unhideWhenUsed/>
    <w:qFormat/>
    <w:rsid w:val="00C227E9"/>
    <w:pPr>
      <w:keepNext/>
      <w:keepLines/>
      <w:numPr>
        <w:ilvl w:val="2"/>
        <w:numId w:val="4"/>
      </w:numPr>
      <w:spacing w:before="120" w:after="120"/>
      <w:outlineLvl w:val="2"/>
    </w:pPr>
    <w:rPr>
      <w:rFonts w:ascii="Times New Roman" w:eastAsiaTheme="majorEastAsia" w:hAnsi="Times New Roman" w:cs="Times New Roman"/>
      <w:b/>
      <w:bCs/>
      <w:color w:val="000000" w:themeColor="text1"/>
      <w:sz w:val="24"/>
      <w:szCs w:val="24"/>
      <w:lang w:val="fr-BE"/>
    </w:rPr>
  </w:style>
  <w:style w:type="paragraph" w:styleId="Heading4">
    <w:name w:val="heading 4"/>
    <w:basedOn w:val="Normal"/>
    <w:next w:val="Normal"/>
    <w:link w:val="Heading4Char"/>
    <w:uiPriority w:val="9"/>
    <w:semiHidden/>
    <w:unhideWhenUsed/>
    <w:qFormat/>
    <w:rsid w:val="00C227E9"/>
    <w:pPr>
      <w:keepNext/>
      <w:keepLines/>
      <w:numPr>
        <w:ilvl w:val="3"/>
        <w:numId w:val="4"/>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27E9"/>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27E9"/>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27E9"/>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27E9"/>
    <w:pPr>
      <w:keepNext/>
      <w:keepLines/>
      <w:numPr>
        <w:ilvl w:val="7"/>
        <w:numId w:val="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27E9"/>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1B3451"/>
    <w:rPr>
      <w:color w:val="0000FF"/>
      <w:shd w:val="clear" w:color="auto" w:fill="auto"/>
    </w:rPr>
  </w:style>
  <w:style w:type="paragraph" w:customStyle="1" w:styleId="Pagedecouverture">
    <w:name w:val="Page de couverture"/>
    <w:basedOn w:val="Normal"/>
    <w:next w:val="Normal"/>
    <w:rsid w:val="001B3451"/>
    <w:pPr>
      <w:spacing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1216A9"/>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1216A9"/>
    <w:rPr>
      <w:rFonts w:ascii="Times New Roman" w:hAnsi="Times New Roman" w:cs="Times New Roman"/>
      <w:sz w:val="24"/>
    </w:rPr>
  </w:style>
  <w:style w:type="paragraph" w:styleId="Footer">
    <w:name w:val="footer"/>
    <w:basedOn w:val="Normal"/>
    <w:link w:val="FooterChar"/>
    <w:uiPriority w:val="99"/>
    <w:unhideWhenUsed/>
    <w:rsid w:val="001216A9"/>
    <w:pPr>
      <w:tabs>
        <w:tab w:val="center" w:pos="4535"/>
        <w:tab w:val="right" w:pos="9071"/>
        <w:tab w:val="right" w:pos="9921"/>
      </w:tabs>
      <w:spacing w:before="36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1216A9"/>
    <w:rPr>
      <w:rFonts w:ascii="Times New Roman" w:hAnsi="Times New Roman" w:cs="Times New Roman"/>
      <w:sz w:val="24"/>
    </w:rPr>
  </w:style>
  <w:style w:type="paragraph" w:customStyle="1" w:styleId="FooterCoverPage">
    <w:name w:val="Footer Cover Page"/>
    <w:basedOn w:val="Normal"/>
    <w:link w:val="FooterCoverPageChar"/>
    <w:rsid w:val="001B3451"/>
    <w:pPr>
      <w:tabs>
        <w:tab w:val="center" w:pos="4535"/>
        <w:tab w:val="right" w:pos="9071"/>
        <w:tab w:val="right" w:pos="9921"/>
      </w:tabs>
      <w:spacing w:before="36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1B3451"/>
    <w:rPr>
      <w:rFonts w:ascii="Times New Roman" w:hAnsi="Times New Roman" w:cs="Times New Roman"/>
      <w:sz w:val="24"/>
    </w:rPr>
  </w:style>
  <w:style w:type="paragraph" w:customStyle="1" w:styleId="HeaderCoverPage">
    <w:name w:val="Header Cover Page"/>
    <w:basedOn w:val="Normal"/>
    <w:link w:val="HeaderCoverPageChar"/>
    <w:rsid w:val="001B3451"/>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1B3451"/>
    <w:rPr>
      <w:rFonts w:ascii="Times New Roman" w:hAnsi="Times New Roman" w:cs="Times New Roman"/>
      <w:sz w:val="24"/>
    </w:rPr>
  </w:style>
  <w:style w:type="character" w:customStyle="1" w:styleId="Heading1Char">
    <w:name w:val="Heading 1 Char"/>
    <w:basedOn w:val="DefaultParagraphFont"/>
    <w:link w:val="Heading1"/>
    <w:uiPriority w:val="9"/>
    <w:rsid w:val="00070D9E"/>
    <w:rPr>
      <w:rFonts w:cs="Arial"/>
      <w:b/>
      <w:sz w:val="28"/>
      <w:szCs w:val="20"/>
    </w:rPr>
  </w:style>
  <w:style w:type="paragraph" w:styleId="BalloonText">
    <w:name w:val="Balloon Text"/>
    <w:basedOn w:val="Normal"/>
    <w:link w:val="BalloonTextChar"/>
    <w:uiPriority w:val="99"/>
    <w:semiHidden/>
    <w:unhideWhenUsed/>
    <w:rsid w:val="00EB5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C1"/>
    <w:rPr>
      <w:rFonts w:ascii="Tahoma" w:hAnsi="Tahoma" w:cs="Tahoma"/>
      <w:sz w:val="16"/>
      <w:szCs w:val="16"/>
    </w:rPr>
  </w:style>
  <w:style w:type="character" w:customStyle="1" w:styleId="Heading2Char">
    <w:name w:val="Heading 2 Char"/>
    <w:basedOn w:val="DefaultParagraphFont"/>
    <w:link w:val="Heading2"/>
    <w:uiPriority w:val="9"/>
    <w:rsid w:val="00C74368"/>
    <w:rPr>
      <w:rFonts w:ascii="Arial" w:eastAsiaTheme="majorEastAsia" w:hAnsi="Arial" w:cs="Arial"/>
      <w:b/>
      <w:bCs/>
      <w:color w:val="000000" w:themeColor="text1"/>
      <w:sz w:val="24"/>
      <w:szCs w:val="26"/>
    </w:rPr>
  </w:style>
  <w:style w:type="paragraph" w:styleId="ListParagraph">
    <w:name w:val="List Paragraph"/>
    <w:aliases w:val="Numbered paragraph 1,Paragrafo elenco,1st level - Bullet List Paragraph,Lettre d'introduction,List Paragraph1,Paragraphe de liste1,Medium Grid 1 - Accent 21"/>
    <w:basedOn w:val="Normal"/>
    <w:link w:val="ListParagraphChar"/>
    <w:uiPriority w:val="34"/>
    <w:qFormat/>
    <w:rsid w:val="00BE4913"/>
    <w:pPr>
      <w:ind w:left="720"/>
      <w:contextualSpacing/>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FootnoteTextChar"/>
    <w:qFormat/>
    <w:rsid w:val="007E3C70"/>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7E3C70"/>
    <w:rPr>
      <w:rFonts w:ascii="Times New Roman" w:eastAsia="Times New Roman" w:hAnsi="Times New Roman" w:cs="Times New Roman"/>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E"/>
    <w:basedOn w:val="DefaultParagraphFont"/>
    <w:uiPriority w:val="99"/>
    <w:qFormat/>
    <w:rsid w:val="007E3C70"/>
    <w:rPr>
      <w:vertAlign w:val="superscript"/>
    </w:rPr>
  </w:style>
  <w:style w:type="character" w:styleId="Hyperlink">
    <w:name w:val="Hyperlink"/>
    <w:basedOn w:val="DefaultParagraphFont"/>
    <w:uiPriority w:val="99"/>
    <w:rsid w:val="007E3C70"/>
    <w:rPr>
      <w:color w:val="0000FF"/>
      <w:u w:val="single"/>
    </w:rPr>
  </w:style>
  <w:style w:type="paragraph" w:styleId="Caption">
    <w:name w:val="caption"/>
    <w:basedOn w:val="Normal"/>
    <w:next w:val="Normal"/>
    <w:uiPriority w:val="35"/>
    <w:unhideWhenUsed/>
    <w:qFormat/>
    <w:rsid w:val="00283F66"/>
    <w:pPr>
      <w:spacing w:line="240" w:lineRule="auto"/>
    </w:pPr>
    <w:rPr>
      <w:b/>
      <w:bCs/>
      <w:color w:val="4F81BD" w:themeColor="accent1"/>
      <w:sz w:val="18"/>
      <w:szCs w:val="18"/>
    </w:rPr>
  </w:style>
  <w:style w:type="character" w:styleId="CommentReference">
    <w:name w:val="annotation reference"/>
    <w:basedOn w:val="DefaultParagraphFont"/>
    <w:uiPriority w:val="99"/>
    <w:unhideWhenUsed/>
    <w:rsid w:val="00D02086"/>
    <w:rPr>
      <w:sz w:val="16"/>
      <w:szCs w:val="16"/>
    </w:rPr>
  </w:style>
  <w:style w:type="paragraph" w:styleId="CommentText">
    <w:name w:val="annotation text"/>
    <w:basedOn w:val="Normal"/>
    <w:link w:val="CommentTextChar"/>
    <w:uiPriority w:val="99"/>
    <w:semiHidden/>
    <w:unhideWhenUsed/>
    <w:rsid w:val="00D02086"/>
    <w:pPr>
      <w:spacing w:line="240" w:lineRule="auto"/>
    </w:pPr>
    <w:rPr>
      <w:sz w:val="20"/>
      <w:szCs w:val="20"/>
    </w:rPr>
  </w:style>
  <w:style w:type="character" w:customStyle="1" w:styleId="CommentTextChar">
    <w:name w:val="Comment Text Char"/>
    <w:basedOn w:val="DefaultParagraphFont"/>
    <w:link w:val="CommentText"/>
    <w:uiPriority w:val="99"/>
    <w:semiHidden/>
    <w:rsid w:val="00D02086"/>
    <w:rPr>
      <w:sz w:val="20"/>
      <w:szCs w:val="20"/>
    </w:rPr>
  </w:style>
  <w:style w:type="paragraph" w:styleId="CommentSubject">
    <w:name w:val="annotation subject"/>
    <w:basedOn w:val="CommentText"/>
    <w:next w:val="CommentText"/>
    <w:link w:val="CommentSubjectChar"/>
    <w:uiPriority w:val="99"/>
    <w:semiHidden/>
    <w:unhideWhenUsed/>
    <w:rsid w:val="00D02086"/>
    <w:rPr>
      <w:b/>
      <w:bCs/>
    </w:rPr>
  </w:style>
  <w:style w:type="character" w:customStyle="1" w:styleId="CommentSubjectChar">
    <w:name w:val="Comment Subject Char"/>
    <w:basedOn w:val="CommentTextChar"/>
    <w:link w:val="CommentSubject"/>
    <w:uiPriority w:val="99"/>
    <w:semiHidden/>
    <w:rsid w:val="00D02086"/>
    <w:rPr>
      <w:b/>
      <w:bCs/>
      <w:sz w:val="20"/>
      <w:szCs w:val="20"/>
    </w:rPr>
  </w:style>
  <w:style w:type="paragraph" w:styleId="ListNumber">
    <w:name w:val="List Number"/>
    <w:basedOn w:val="Normal"/>
    <w:rsid w:val="005B0231"/>
    <w:pPr>
      <w:spacing w:after="120" w:line="240" w:lineRule="auto"/>
      <w:jc w:val="both"/>
    </w:pPr>
    <w:rPr>
      <w:rFonts w:ascii="Times New Roman" w:eastAsia="Times New Roman" w:hAnsi="Times New Roman" w:cs="Times New Roman"/>
      <w:szCs w:val="20"/>
    </w:rPr>
  </w:style>
  <w:style w:type="paragraph" w:styleId="Subtitle">
    <w:name w:val="Subtitle"/>
    <w:basedOn w:val="Normal"/>
    <w:link w:val="SubtitleChar"/>
    <w:qFormat/>
    <w:rsid w:val="005B0231"/>
    <w:pPr>
      <w:spacing w:after="60" w:line="240" w:lineRule="auto"/>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5B0231"/>
    <w:rPr>
      <w:rFonts w:ascii="Arial" w:eastAsia="Times New Roman" w:hAnsi="Arial" w:cs="Times New Roman"/>
      <w:szCs w:val="20"/>
    </w:rPr>
  </w:style>
  <w:style w:type="paragraph" w:customStyle="1" w:styleId="ListNumberLevel2">
    <w:name w:val="List Number (Level 2)"/>
    <w:basedOn w:val="Normal"/>
    <w:rsid w:val="005B0231"/>
    <w:pPr>
      <w:numPr>
        <w:ilvl w:val="1"/>
        <w:numId w:val="1"/>
      </w:numPr>
      <w:spacing w:after="120" w:line="240" w:lineRule="auto"/>
      <w:jc w:val="both"/>
    </w:pPr>
    <w:rPr>
      <w:rFonts w:ascii="Times New Roman" w:eastAsia="Times New Roman" w:hAnsi="Times New Roman" w:cs="Times New Roman"/>
      <w:szCs w:val="20"/>
    </w:rPr>
  </w:style>
  <w:style w:type="paragraph" w:customStyle="1" w:styleId="ListNumberLevel3">
    <w:name w:val="List Number (Level 3)"/>
    <w:basedOn w:val="Normal"/>
    <w:rsid w:val="005B0231"/>
    <w:pPr>
      <w:numPr>
        <w:ilvl w:val="2"/>
        <w:numId w:val="1"/>
      </w:numPr>
      <w:spacing w:after="120" w:line="240" w:lineRule="auto"/>
      <w:jc w:val="both"/>
    </w:pPr>
    <w:rPr>
      <w:rFonts w:ascii="Times New Roman" w:eastAsia="Times New Roman" w:hAnsi="Times New Roman" w:cs="Times New Roman"/>
      <w:szCs w:val="20"/>
    </w:rPr>
  </w:style>
  <w:style w:type="paragraph" w:customStyle="1" w:styleId="ListNumberLevel4">
    <w:name w:val="List Number (Level 4)"/>
    <w:basedOn w:val="Normal"/>
    <w:rsid w:val="005B0231"/>
    <w:pPr>
      <w:numPr>
        <w:ilvl w:val="3"/>
        <w:numId w:val="1"/>
      </w:numPr>
      <w:spacing w:after="120" w:line="240" w:lineRule="auto"/>
      <w:jc w:val="both"/>
    </w:pPr>
    <w:rPr>
      <w:rFonts w:ascii="Times New Roman" w:eastAsia="Times New Roman" w:hAnsi="Times New Roman" w:cs="Times New Roman"/>
      <w:szCs w:val="20"/>
    </w:rPr>
  </w:style>
  <w:style w:type="paragraph" w:styleId="Revision">
    <w:name w:val="Revision"/>
    <w:hidden/>
    <w:uiPriority w:val="99"/>
    <w:semiHidden/>
    <w:rsid w:val="00C53C80"/>
    <w:pPr>
      <w:spacing w:after="0" w:line="240" w:lineRule="auto"/>
    </w:pPr>
  </w:style>
  <w:style w:type="paragraph" w:customStyle="1" w:styleId="Default">
    <w:name w:val="Default"/>
    <w:rsid w:val="0098068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52047"/>
    <w:rPr>
      <w:color w:val="800080" w:themeColor="followedHyperlink"/>
      <w:u w:val="single"/>
    </w:rPr>
  </w:style>
  <w:style w:type="table" w:styleId="TableGrid">
    <w:name w:val="Table Grid"/>
    <w:basedOn w:val="TableNormal"/>
    <w:rsid w:val="007D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982AD3"/>
    <w:pPr>
      <w:tabs>
        <w:tab w:val="right" w:leader="dot" w:pos="8640"/>
      </w:tabs>
      <w:spacing w:before="120" w:after="120" w:line="240" w:lineRule="auto"/>
      <w:ind w:left="482" w:right="720" w:hanging="482"/>
    </w:pPr>
    <w:rPr>
      <w:rFonts w:eastAsia="Times New Roman" w:cs="Times New Roman"/>
      <w:szCs w:val="20"/>
    </w:rPr>
  </w:style>
  <w:style w:type="paragraph" w:styleId="TOC2">
    <w:name w:val="toc 2"/>
    <w:basedOn w:val="Normal"/>
    <w:next w:val="Normal"/>
    <w:uiPriority w:val="39"/>
    <w:qFormat/>
    <w:rsid w:val="00C2037C"/>
    <w:pPr>
      <w:tabs>
        <w:tab w:val="right" w:leader="dot" w:pos="8640"/>
      </w:tabs>
      <w:spacing w:before="60" w:after="60" w:line="240" w:lineRule="auto"/>
      <w:ind w:left="482" w:right="720" w:hanging="482"/>
      <w:jc w:val="both"/>
    </w:pPr>
    <w:rPr>
      <w:rFonts w:ascii="Times New Roman" w:eastAsia="Times New Roman" w:hAnsi="Times New Roman" w:cs="Times New Roman"/>
      <w:noProof/>
      <w:sz w:val="20"/>
      <w:szCs w:val="20"/>
    </w:rPr>
  </w:style>
  <w:style w:type="paragraph" w:styleId="TOC3">
    <w:name w:val="toc 3"/>
    <w:basedOn w:val="Normal"/>
    <w:next w:val="Normal"/>
    <w:uiPriority w:val="39"/>
    <w:qFormat/>
    <w:rsid w:val="00C2037C"/>
    <w:pPr>
      <w:tabs>
        <w:tab w:val="right" w:leader="dot" w:pos="8640"/>
      </w:tabs>
      <w:spacing w:before="60" w:after="60" w:line="240" w:lineRule="auto"/>
      <w:ind w:left="595" w:right="720" w:hanging="595"/>
      <w:jc w:val="both"/>
    </w:pPr>
    <w:rPr>
      <w:rFonts w:ascii="Times New Roman" w:eastAsia="Times New Roman" w:hAnsi="Times New Roman" w:cs="Times New Roman"/>
      <w:sz w:val="20"/>
      <w:szCs w:val="20"/>
    </w:rPr>
  </w:style>
  <w:style w:type="paragraph" w:styleId="TOC4">
    <w:name w:val="toc 4"/>
    <w:basedOn w:val="Normal"/>
    <w:next w:val="Normal"/>
    <w:semiHidden/>
    <w:rsid w:val="00C2037C"/>
    <w:pPr>
      <w:tabs>
        <w:tab w:val="right" w:leader="dot" w:pos="8641"/>
      </w:tabs>
      <w:spacing w:before="20" w:after="60" w:line="240" w:lineRule="auto"/>
      <w:ind w:left="709" w:right="720" w:hanging="709"/>
      <w:jc w:val="both"/>
    </w:pPr>
    <w:rPr>
      <w:rFonts w:ascii="Times New Roman" w:eastAsia="Times New Roman" w:hAnsi="Times New Roman" w:cs="Times New Roman"/>
      <w:noProof/>
      <w:sz w:val="20"/>
      <w:szCs w:val="20"/>
    </w:rPr>
  </w:style>
  <w:style w:type="paragraph" w:styleId="Title">
    <w:name w:val="Title"/>
    <w:basedOn w:val="Normal"/>
    <w:next w:val="Normal"/>
    <w:link w:val="TitleChar"/>
    <w:uiPriority w:val="10"/>
    <w:qFormat/>
    <w:rsid w:val="00A0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38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27E9"/>
    <w:rPr>
      <w:rFonts w:ascii="Times New Roman" w:eastAsiaTheme="majorEastAsia" w:hAnsi="Times New Roman" w:cs="Times New Roman"/>
      <w:b/>
      <w:bCs/>
      <w:color w:val="000000" w:themeColor="text1"/>
      <w:sz w:val="24"/>
      <w:szCs w:val="24"/>
      <w:lang w:val="fr-BE"/>
    </w:rPr>
  </w:style>
  <w:style w:type="character" w:customStyle="1" w:styleId="Heading4Char">
    <w:name w:val="Heading 4 Char"/>
    <w:basedOn w:val="DefaultParagraphFont"/>
    <w:link w:val="Heading4"/>
    <w:uiPriority w:val="9"/>
    <w:semiHidden/>
    <w:rsid w:val="00C22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27E9"/>
    <w:rPr>
      <w:rFonts w:asciiTheme="majorHAnsi" w:eastAsiaTheme="majorEastAsia" w:hAnsiTheme="majorHAnsi" w:cstheme="majorBidi"/>
      <w:i/>
      <w:iCs/>
      <w:color w:val="404040" w:themeColor="text1" w:themeTint="BF"/>
      <w:sz w:val="20"/>
      <w:szCs w:val="20"/>
    </w:rPr>
  </w:style>
  <w:style w:type="paragraph" w:customStyle="1" w:styleId="ListNumber1">
    <w:name w:val="List Number 1"/>
    <w:basedOn w:val="Normal"/>
    <w:rsid w:val="00C74368"/>
    <w:pPr>
      <w:numPr>
        <w:numId w:val="3"/>
      </w:numPr>
      <w:spacing w:after="120" w:line="240" w:lineRule="auto"/>
      <w:jc w:val="both"/>
    </w:pPr>
    <w:rPr>
      <w:rFonts w:ascii="Times New Roman" w:eastAsia="Times New Roman" w:hAnsi="Times New Roman" w:cs="Times New Roman"/>
      <w:szCs w:val="20"/>
    </w:rPr>
  </w:style>
  <w:style w:type="paragraph" w:customStyle="1" w:styleId="Text1">
    <w:name w:val="Text 1"/>
    <w:basedOn w:val="Normal"/>
    <w:rsid w:val="00C74368"/>
    <w:pPr>
      <w:spacing w:after="120" w:line="240" w:lineRule="auto"/>
      <w:jc w:val="both"/>
    </w:pPr>
    <w:rPr>
      <w:rFonts w:ascii="Times New Roman" w:eastAsia="Times New Roman" w:hAnsi="Times New Roman" w:cs="Times New Roman"/>
      <w:szCs w:val="20"/>
    </w:rPr>
  </w:style>
  <w:style w:type="paragraph" w:customStyle="1" w:styleId="NumPar1">
    <w:name w:val="NumPar 1"/>
    <w:basedOn w:val="Heading1"/>
    <w:next w:val="Text1"/>
    <w:rsid w:val="00C74368"/>
    <w:pPr>
      <w:keepNext w:val="0"/>
      <w:keepLines w:val="0"/>
      <w:spacing w:before="0" w:after="120" w:line="240" w:lineRule="auto"/>
      <w:jc w:val="both"/>
      <w:outlineLvl w:val="9"/>
    </w:pPr>
    <w:rPr>
      <w:rFonts w:ascii="Times New Roman" w:eastAsia="Times New Roman" w:hAnsi="Times New Roman" w:cs="Times New Roman"/>
      <w:b w:val="0"/>
      <w:sz w:val="22"/>
    </w:rPr>
  </w:style>
  <w:style w:type="character" w:styleId="Strong">
    <w:name w:val="Strong"/>
    <w:basedOn w:val="DefaultParagraphFont"/>
    <w:uiPriority w:val="22"/>
    <w:qFormat/>
    <w:rsid w:val="00FA1391"/>
    <w:rPr>
      <w:b/>
      <w:bCs/>
    </w:rPr>
  </w:style>
  <w:style w:type="paragraph" w:styleId="TOCHeading">
    <w:name w:val="TOC Heading"/>
    <w:basedOn w:val="Heading1"/>
    <w:next w:val="Normal"/>
    <w:uiPriority w:val="39"/>
    <w:unhideWhenUsed/>
    <w:qFormat/>
    <w:rsid w:val="00D61EE4"/>
    <w:pPr>
      <w:numPr>
        <w:numId w:val="0"/>
      </w:numPr>
      <w:spacing w:before="480" w:after="0"/>
      <w:outlineLvl w:val="9"/>
    </w:pPr>
    <w:rPr>
      <w:rFonts w:asciiTheme="majorHAnsi" w:eastAsiaTheme="majorEastAsia" w:hAnsiTheme="majorHAnsi" w:cstheme="majorBidi"/>
      <w:bCs/>
      <w:color w:val="365F91" w:themeColor="accent1" w:themeShade="BF"/>
      <w:szCs w:val="28"/>
      <w:lang w:val="en-US" w:eastAsia="ja-JP"/>
    </w:rPr>
  </w:style>
  <w:style w:type="paragraph" w:styleId="NormalWeb">
    <w:name w:val="Normal (Web)"/>
    <w:basedOn w:val="Normal"/>
    <w:uiPriority w:val="99"/>
    <w:semiHidden/>
    <w:unhideWhenUsed/>
    <w:rsid w:val="009C4D4A"/>
    <w:pPr>
      <w:spacing w:before="100" w:beforeAutospacing="1" w:after="100" w:afterAutospacing="1" w:line="240" w:lineRule="auto"/>
    </w:pPr>
    <w:rPr>
      <w:rFonts w:ascii="Times New Roman" w:hAnsi="Times New Roman" w:cs="Times New Roman"/>
      <w:color w:val="000000"/>
      <w:sz w:val="24"/>
      <w:szCs w:val="24"/>
      <w:lang w:eastAsia="en-GB"/>
    </w:rPr>
  </w:style>
  <w:style w:type="character" w:customStyle="1" w:styleId="apple-converted-space">
    <w:name w:val="apple-converted-space"/>
    <w:basedOn w:val="DefaultParagraphFont"/>
    <w:rsid w:val="00070D9E"/>
  </w:style>
  <w:style w:type="paragraph" w:customStyle="1" w:styleId="Declassification">
    <w:name w:val="Declassification"/>
    <w:basedOn w:val="Normal"/>
    <w:next w:val="Normal"/>
    <w:rsid w:val="001216A9"/>
    <w:pPr>
      <w:spacing w:before="0" w:line="240" w:lineRule="auto"/>
      <w:jc w:val="both"/>
    </w:pPr>
    <w:rPr>
      <w:rFonts w:ascii="Times New Roman" w:hAnsi="Times New Roman" w:cs="Times New Roman"/>
      <w:sz w:val="24"/>
    </w:rPr>
  </w:style>
  <w:style w:type="paragraph" w:customStyle="1" w:styleId="HeaderLandscape">
    <w:name w:val="HeaderLandscape"/>
    <w:basedOn w:val="Normal"/>
    <w:rsid w:val="001216A9"/>
    <w:pPr>
      <w:tabs>
        <w:tab w:val="center" w:pos="7285"/>
        <w:tab w:val="right" w:pos="14003"/>
      </w:tabs>
      <w:spacing w:before="0" w:after="120" w:line="240" w:lineRule="auto"/>
      <w:jc w:val="both"/>
    </w:pPr>
    <w:rPr>
      <w:rFonts w:ascii="Times New Roman" w:hAnsi="Times New Roman" w:cs="Times New Roman"/>
      <w:sz w:val="24"/>
    </w:rPr>
  </w:style>
  <w:style w:type="paragraph" w:customStyle="1" w:styleId="HeaderSensitivity">
    <w:name w:val="Header Sensitivity"/>
    <w:basedOn w:val="Normal"/>
    <w:rsid w:val="001216A9"/>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1216A9"/>
    <w:pPr>
      <w:tabs>
        <w:tab w:val="center" w:pos="7285"/>
        <w:tab w:val="center" w:pos="10913"/>
        <w:tab w:val="right" w:pos="15137"/>
      </w:tabs>
      <w:spacing w:before="360" w:line="240" w:lineRule="auto"/>
      <w:ind w:left="-567" w:right="-567"/>
    </w:pPr>
    <w:rPr>
      <w:rFonts w:ascii="Times New Roman" w:hAnsi="Times New Roman" w:cs="Times New Roman"/>
      <w:sz w:val="24"/>
    </w:rPr>
  </w:style>
  <w:style w:type="paragraph" w:customStyle="1" w:styleId="FooterSensitivity">
    <w:name w:val="Footer Sensitivity"/>
    <w:basedOn w:val="Normal"/>
    <w:rsid w:val="001216A9"/>
    <w:pPr>
      <w:pBdr>
        <w:top w:val="single" w:sz="4" w:space="1" w:color="auto"/>
        <w:left w:val="single" w:sz="4" w:space="4" w:color="auto"/>
        <w:bottom w:val="single" w:sz="4" w:space="1" w:color="auto"/>
        <w:right w:val="single" w:sz="4" w:space="4" w:color="auto"/>
      </w:pBdr>
      <w:spacing w:before="360" w:line="240" w:lineRule="auto"/>
      <w:ind w:left="113" w:right="113"/>
      <w:jc w:val="center"/>
    </w:pPr>
    <w:rPr>
      <w:rFonts w:ascii="Times New Roman" w:hAnsi="Times New Roman" w:cs="Times New Roman"/>
      <w:b/>
      <w:sz w:val="32"/>
    </w:rPr>
  </w:style>
  <w:style w:type="paragraph" w:styleId="BodyText">
    <w:name w:val="Body Text"/>
    <w:basedOn w:val="Normal"/>
    <w:link w:val="BodyTextChar"/>
    <w:uiPriority w:val="99"/>
    <w:qFormat/>
    <w:rsid w:val="007B6E66"/>
    <w:pPr>
      <w:spacing w:before="0" w:after="280" w:line="280" w:lineRule="atLeast"/>
    </w:pPr>
    <w:rPr>
      <w:rFonts w:ascii="Verdana" w:eastAsia="Times New Roman" w:hAnsi="Verdana" w:cs="Arial"/>
      <w:sz w:val="18"/>
      <w:szCs w:val="20"/>
      <w:lang w:eastAsia="da-DK"/>
    </w:rPr>
  </w:style>
  <w:style w:type="character" w:customStyle="1" w:styleId="BodyTextChar">
    <w:name w:val="Body Text Char"/>
    <w:basedOn w:val="DefaultParagraphFont"/>
    <w:link w:val="BodyText"/>
    <w:uiPriority w:val="99"/>
    <w:rsid w:val="007B6E66"/>
    <w:rPr>
      <w:rFonts w:ascii="Verdana" w:eastAsia="Times New Roman" w:hAnsi="Verdana" w:cs="Arial"/>
      <w:sz w:val="18"/>
      <w:szCs w:val="20"/>
      <w:lang w:eastAsia="da-DK"/>
    </w:rPr>
  </w:style>
  <w:style w:type="paragraph" w:styleId="BodyTextIndent2">
    <w:name w:val="Body Text Indent 2"/>
    <w:basedOn w:val="Normal"/>
    <w:link w:val="BodyTextIndent2Char"/>
    <w:rsid w:val="00D556EA"/>
    <w:pPr>
      <w:spacing w:before="0"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556EA"/>
    <w:rPr>
      <w:rFonts w:ascii="Times New Roman" w:eastAsia="Times New Roman" w:hAnsi="Times New Roman" w:cs="Times New Roman"/>
      <w:sz w:val="24"/>
      <w:szCs w:val="20"/>
    </w:rPr>
  </w:style>
  <w:style w:type="character" w:customStyle="1" w:styleId="ListParagraphChar">
    <w:name w:val="List Paragraph Char"/>
    <w:aliases w:val="Numbered paragraph 1 Char,Paragrafo elenco Char,1st level - Bullet List Paragraph Char,Lettre d'introduction Char,List Paragraph1 Char,Paragraphe de liste1 Char,Medium Grid 1 - Accent 21 Char"/>
    <w:basedOn w:val="DefaultParagraphFont"/>
    <w:link w:val="ListParagraph"/>
    <w:uiPriority w:val="34"/>
    <w:locked/>
    <w:rsid w:val="007B206A"/>
  </w:style>
  <w:style w:type="character" w:styleId="Emphasis">
    <w:name w:val="Emphasis"/>
    <w:basedOn w:val="DefaultParagraphFont"/>
    <w:uiPriority w:val="20"/>
    <w:qFormat/>
    <w:rsid w:val="00FC4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941">
      <w:bodyDiv w:val="1"/>
      <w:marLeft w:val="0"/>
      <w:marRight w:val="0"/>
      <w:marTop w:val="0"/>
      <w:marBottom w:val="0"/>
      <w:divBdr>
        <w:top w:val="none" w:sz="0" w:space="0" w:color="auto"/>
        <w:left w:val="none" w:sz="0" w:space="0" w:color="auto"/>
        <w:bottom w:val="none" w:sz="0" w:space="0" w:color="auto"/>
        <w:right w:val="none" w:sz="0" w:space="0" w:color="auto"/>
      </w:divBdr>
    </w:div>
    <w:div w:id="20476707">
      <w:bodyDiv w:val="1"/>
      <w:marLeft w:val="0"/>
      <w:marRight w:val="0"/>
      <w:marTop w:val="0"/>
      <w:marBottom w:val="0"/>
      <w:divBdr>
        <w:top w:val="none" w:sz="0" w:space="0" w:color="auto"/>
        <w:left w:val="none" w:sz="0" w:space="0" w:color="auto"/>
        <w:bottom w:val="none" w:sz="0" w:space="0" w:color="auto"/>
        <w:right w:val="none" w:sz="0" w:space="0" w:color="auto"/>
      </w:divBdr>
    </w:div>
    <w:div w:id="56710157">
      <w:bodyDiv w:val="1"/>
      <w:marLeft w:val="0"/>
      <w:marRight w:val="0"/>
      <w:marTop w:val="0"/>
      <w:marBottom w:val="0"/>
      <w:divBdr>
        <w:top w:val="none" w:sz="0" w:space="0" w:color="auto"/>
        <w:left w:val="none" w:sz="0" w:space="0" w:color="auto"/>
        <w:bottom w:val="none" w:sz="0" w:space="0" w:color="auto"/>
        <w:right w:val="none" w:sz="0" w:space="0" w:color="auto"/>
      </w:divBdr>
    </w:div>
    <w:div w:id="151528875">
      <w:bodyDiv w:val="1"/>
      <w:marLeft w:val="0"/>
      <w:marRight w:val="0"/>
      <w:marTop w:val="0"/>
      <w:marBottom w:val="0"/>
      <w:divBdr>
        <w:top w:val="none" w:sz="0" w:space="0" w:color="auto"/>
        <w:left w:val="none" w:sz="0" w:space="0" w:color="auto"/>
        <w:bottom w:val="none" w:sz="0" w:space="0" w:color="auto"/>
        <w:right w:val="none" w:sz="0" w:space="0" w:color="auto"/>
      </w:divBdr>
    </w:div>
    <w:div w:id="217978144">
      <w:bodyDiv w:val="1"/>
      <w:marLeft w:val="0"/>
      <w:marRight w:val="0"/>
      <w:marTop w:val="0"/>
      <w:marBottom w:val="0"/>
      <w:divBdr>
        <w:top w:val="none" w:sz="0" w:space="0" w:color="auto"/>
        <w:left w:val="none" w:sz="0" w:space="0" w:color="auto"/>
        <w:bottom w:val="none" w:sz="0" w:space="0" w:color="auto"/>
        <w:right w:val="none" w:sz="0" w:space="0" w:color="auto"/>
      </w:divBdr>
    </w:div>
    <w:div w:id="298152306">
      <w:bodyDiv w:val="1"/>
      <w:marLeft w:val="0"/>
      <w:marRight w:val="0"/>
      <w:marTop w:val="0"/>
      <w:marBottom w:val="0"/>
      <w:divBdr>
        <w:top w:val="none" w:sz="0" w:space="0" w:color="auto"/>
        <w:left w:val="none" w:sz="0" w:space="0" w:color="auto"/>
        <w:bottom w:val="none" w:sz="0" w:space="0" w:color="auto"/>
        <w:right w:val="none" w:sz="0" w:space="0" w:color="auto"/>
      </w:divBdr>
    </w:div>
    <w:div w:id="320081521">
      <w:bodyDiv w:val="1"/>
      <w:marLeft w:val="0"/>
      <w:marRight w:val="0"/>
      <w:marTop w:val="0"/>
      <w:marBottom w:val="0"/>
      <w:divBdr>
        <w:top w:val="none" w:sz="0" w:space="0" w:color="auto"/>
        <w:left w:val="none" w:sz="0" w:space="0" w:color="auto"/>
        <w:bottom w:val="none" w:sz="0" w:space="0" w:color="auto"/>
        <w:right w:val="none" w:sz="0" w:space="0" w:color="auto"/>
      </w:divBdr>
      <w:divsChild>
        <w:div w:id="1118529710">
          <w:marLeft w:val="-225"/>
          <w:marRight w:val="-225"/>
          <w:marTop w:val="0"/>
          <w:marBottom w:val="0"/>
          <w:divBdr>
            <w:top w:val="none" w:sz="0" w:space="0" w:color="auto"/>
            <w:left w:val="none" w:sz="0" w:space="0" w:color="auto"/>
            <w:bottom w:val="none" w:sz="0" w:space="0" w:color="auto"/>
            <w:right w:val="none" w:sz="0" w:space="0" w:color="auto"/>
          </w:divBdr>
          <w:divsChild>
            <w:div w:id="1292008048">
              <w:marLeft w:val="0"/>
              <w:marRight w:val="0"/>
              <w:marTop w:val="0"/>
              <w:marBottom w:val="0"/>
              <w:divBdr>
                <w:top w:val="none" w:sz="0" w:space="0" w:color="auto"/>
                <w:left w:val="none" w:sz="0" w:space="0" w:color="auto"/>
                <w:bottom w:val="none" w:sz="0" w:space="0" w:color="auto"/>
                <w:right w:val="none" w:sz="0" w:space="0" w:color="auto"/>
              </w:divBdr>
              <w:divsChild>
                <w:div w:id="1593782237">
                  <w:marLeft w:val="0"/>
                  <w:marRight w:val="0"/>
                  <w:marTop w:val="0"/>
                  <w:marBottom w:val="0"/>
                  <w:divBdr>
                    <w:top w:val="none" w:sz="0" w:space="0" w:color="auto"/>
                    <w:left w:val="none" w:sz="0" w:space="0" w:color="auto"/>
                    <w:bottom w:val="none" w:sz="0" w:space="0" w:color="auto"/>
                    <w:right w:val="none" w:sz="0" w:space="0" w:color="auto"/>
                  </w:divBdr>
                  <w:divsChild>
                    <w:div w:id="2099595839">
                      <w:marLeft w:val="0"/>
                      <w:marRight w:val="0"/>
                      <w:marTop w:val="0"/>
                      <w:marBottom w:val="300"/>
                      <w:divBdr>
                        <w:top w:val="none" w:sz="0" w:space="0" w:color="auto"/>
                        <w:left w:val="none" w:sz="0" w:space="0" w:color="auto"/>
                        <w:bottom w:val="none" w:sz="0" w:space="0" w:color="auto"/>
                        <w:right w:val="none" w:sz="0" w:space="0" w:color="auto"/>
                      </w:divBdr>
                      <w:divsChild>
                        <w:div w:id="1572693042">
                          <w:marLeft w:val="0"/>
                          <w:marRight w:val="0"/>
                          <w:marTop w:val="0"/>
                          <w:marBottom w:val="0"/>
                          <w:divBdr>
                            <w:top w:val="none" w:sz="0" w:space="0" w:color="auto"/>
                            <w:left w:val="none" w:sz="0" w:space="0" w:color="auto"/>
                            <w:bottom w:val="none" w:sz="0" w:space="0" w:color="auto"/>
                            <w:right w:val="none" w:sz="0" w:space="0" w:color="auto"/>
                          </w:divBdr>
                          <w:divsChild>
                            <w:div w:id="1949702542">
                              <w:marLeft w:val="0"/>
                              <w:marRight w:val="0"/>
                              <w:marTop w:val="0"/>
                              <w:marBottom w:val="0"/>
                              <w:divBdr>
                                <w:top w:val="none" w:sz="0" w:space="0" w:color="auto"/>
                                <w:left w:val="none" w:sz="0" w:space="0" w:color="auto"/>
                                <w:bottom w:val="none" w:sz="0" w:space="0" w:color="auto"/>
                                <w:right w:val="none" w:sz="0" w:space="0" w:color="auto"/>
                              </w:divBdr>
                              <w:divsChild>
                                <w:div w:id="371540783">
                                  <w:marLeft w:val="0"/>
                                  <w:marRight w:val="0"/>
                                  <w:marTop w:val="0"/>
                                  <w:marBottom w:val="0"/>
                                  <w:divBdr>
                                    <w:top w:val="none" w:sz="0" w:space="0" w:color="auto"/>
                                    <w:left w:val="none" w:sz="0" w:space="0" w:color="auto"/>
                                    <w:bottom w:val="none" w:sz="0" w:space="0" w:color="auto"/>
                                    <w:right w:val="none" w:sz="0" w:space="0" w:color="auto"/>
                                  </w:divBdr>
                                  <w:divsChild>
                                    <w:div w:id="372074841">
                                      <w:marLeft w:val="0"/>
                                      <w:marRight w:val="0"/>
                                      <w:marTop w:val="0"/>
                                      <w:marBottom w:val="120"/>
                                      <w:divBdr>
                                        <w:top w:val="none" w:sz="0" w:space="0" w:color="auto"/>
                                        <w:left w:val="none" w:sz="0" w:space="0" w:color="auto"/>
                                        <w:bottom w:val="single" w:sz="6" w:space="0" w:color="DDDDDD"/>
                                        <w:right w:val="none" w:sz="0" w:space="0" w:color="auto"/>
                                      </w:divBdr>
                                      <w:divsChild>
                                        <w:div w:id="1844203343">
                                          <w:marLeft w:val="0"/>
                                          <w:marRight w:val="0"/>
                                          <w:marTop w:val="0"/>
                                          <w:marBottom w:val="0"/>
                                          <w:divBdr>
                                            <w:top w:val="none" w:sz="0" w:space="0" w:color="auto"/>
                                            <w:left w:val="none" w:sz="0" w:space="0" w:color="auto"/>
                                            <w:bottom w:val="none" w:sz="0" w:space="0" w:color="auto"/>
                                            <w:right w:val="none" w:sz="0" w:space="0" w:color="auto"/>
                                          </w:divBdr>
                                          <w:divsChild>
                                            <w:div w:id="1841309715">
                                              <w:marLeft w:val="0"/>
                                              <w:marRight w:val="0"/>
                                              <w:marTop w:val="0"/>
                                              <w:marBottom w:val="0"/>
                                              <w:divBdr>
                                                <w:top w:val="none" w:sz="0" w:space="0" w:color="auto"/>
                                                <w:left w:val="none" w:sz="0" w:space="0" w:color="auto"/>
                                                <w:bottom w:val="none" w:sz="0" w:space="0" w:color="auto"/>
                                                <w:right w:val="none" w:sz="0" w:space="0" w:color="auto"/>
                                              </w:divBdr>
                                              <w:divsChild>
                                                <w:div w:id="2076540762">
                                                  <w:marLeft w:val="0"/>
                                                  <w:marRight w:val="0"/>
                                                  <w:marTop w:val="0"/>
                                                  <w:marBottom w:val="0"/>
                                                  <w:divBdr>
                                                    <w:top w:val="none" w:sz="0" w:space="0" w:color="auto"/>
                                                    <w:left w:val="none" w:sz="0" w:space="0" w:color="auto"/>
                                                    <w:bottom w:val="none" w:sz="0" w:space="0" w:color="auto"/>
                                                    <w:right w:val="none" w:sz="0" w:space="0" w:color="auto"/>
                                                  </w:divBdr>
                                                </w:div>
                                                <w:div w:id="1110704414">
                                                  <w:marLeft w:val="0"/>
                                                  <w:marRight w:val="0"/>
                                                  <w:marTop w:val="0"/>
                                                  <w:marBottom w:val="0"/>
                                                  <w:divBdr>
                                                    <w:top w:val="none" w:sz="0" w:space="0" w:color="auto"/>
                                                    <w:left w:val="none" w:sz="0" w:space="0" w:color="auto"/>
                                                    <w:bottom w:val="none" w:sz="0" w:space="0" w:color="auto"/>
                                                    <w:right w:val="none" w:sz="0" w:space="0" w:color="auto"/>
                                                  </w:divBdr>
                                                </w:div>
                                                <w:div w:id="1960524286">
                                                  <w:marLeft w:val="0"/>
                                                  <w:marRight w:val="0"/>
                                                  <w:marTop w:val="0"/>
                                                  <w:marBottom w:val="0"/>
                                                  <w:divBdr>
                                                    <w:top w:val="none" w:sz="0" w:space="0" w:color="auto"/>
                                                    <w:left w:val="none" w:sz="0" w:space="0" w:color="auto"/>
                                                    <w:bottom w:val="none" w:sz="0" w:space="0" w:color="auto"/>
                                                    <w:right w:val="none" w:sz="0" w:space="0" w:color="auto"/>
                                                  </w:divBdr>
                                                </w:div>
                                                <w:div w:id="1461262041">
                                                  <w:marLeft w:val="0"/>
                                                  <w:marRight w:val="0"/>
                                                  <w:marTop w:val="0"/>
                                                  <w:marBottom w:val="0"/>
                                                  <w:divBdr>
                                                    <w:top w:val="none" w:sz="0" w:space="0" w:color="auto"/>
                                                    <w:left w:val="none" w:sz="0" w:space="0" w:color="auto"/>
                                                    <w:bottom w:val="none" w:sz="0" w:space="0" w:color="auto"/>
                                                    <w:right w:val="none" w:sz="0" w:space="0" w:color="auto"/>
                                                  </w:divBdr>
                                                </w:div>
                                                <w:div w:id="595871447">
                                                  <w:marLeft w:val="0"/>
                                                  <w:marRight w:val="0"/>
                                                  <w:marTop w:val="0"/>
                                                  <w:marBottom w:val="0"/>
                                                  <w:divBdr>
                                                    <w:top w:val="none" w:sz="0" w:space="0" w:color="auto"/>
                                                    <w:left w:val="none" w:sz="0" w:space="0" w:color="auto"/>
                                                    <w:bottom w:val="none" w:sz="0" w:space="0" w:color="auto"/>
                                                    <w:right w:val="none" w:sz="0" w:space="0" w:color="auto"/>
                                                  </w:divBdr>
                                                </w:div>
                                                <w:div w:id="906764978">
                                                  <w:marLeft w:val="0"/>
                                                  <w:marRight w:val="0"/>
                                                  <w:marTop w:val="0"/>
                                                  <w:marBottom w:val="0"/>
                                                  <w:divBdr>
                                                    <w:top w:val="none" w:sz="0" w:space="0" w:color="auto"/>
                                                    <w:left w:val="none" w:sz="0" w:space="0" w:color="auto"/>
                                                    <w:bottom w:val="none" w:sz="0" w:space="0" w:color="auto"/>
                                                    <w:right w:val="none" w:sz="0" w:space="0" w:color="auto"/>
                                                  </w:divBdr>
                                                </w:div>
                                                <w:div w:id="421489626">
                                                  <w:marLeft w:val="0"/>
                                                  <w:marRight w:val="0"/>
                                                  <w:marTop w:val="0"/>
                                                  <w:marBottom w:val="0"/>
                                                  <w:divBdr>
                                                    <w:top w:val="none" w:sz="0" w:space="0" w:color="auto"/>
                                                    <w:left w:val="none" w:sz="0" w:space="0" w:color="auto"/>
                                                    <w:bottom w:val="none" w:sz="0" w:space="0" w:color="auto"/>
                                                    <w:right w:val="none" w:sz="0" w:space="0" w:color="auto"/>
                                                  </w:divBdr>
                                                </w:div>
                                                <w:div w:id="810488215">
                                                  <w:marLeft w:val="0"/>
                                                  <w:marRight w:val="0"/>
                                                  <w:marTop w:val="0"/>
                                                  <w:marBottom w:val="0"/>
                                                  <w:divBdr>
                                                    <w:top w:val="none" w:sz="0" w:space="0" w:color="auto"/>
                                                    <w:left w:val="none" w:sz="0" w:space="0" w:color="auto"/>
                                                    <w:bottom w:val="none" w:sz="0" w:space="0" w:color="auto"/>
                                                    <w:right w:val="none" w:sz="0" w:space="0" w:color="auto"/>
                                                  </w:divBdr>
                                                </w:div>
                                                <w:div w:id="1561793773">
                                                  <w:marLeft w:val="0"/>
                                                  <w:marRight w:val="0"/>
                                                  <w:marTop w:val="0"/>
                                                  <w:marBottom w:val="0"/>
                                                  <w:divBdr>
                                                    <w:top w:val="none" w:sz="0" w:space="0" w:color="auto"/>
                                                    <w:left w:val="none" w:sz="0" w:space="0" w:color="auto"/>
                                                    <w:bottom w:val="none" w:sz="0" w:space="0" w:color="auto"/>
                                                    <w:right w:val="none" w:sz="0" w:space="0" w:color="auto"/>
                                                  </w:divBdr>
                                                </w:div>
                                                <w:div w:id="1219972144">
                                                  <w:marLeft w:val="0"/>
                                                  <w:marRight w:val="0"/>
                                                  <w:marTop w:val="0"/>
                                                  <w:marBottom w:val="0"/>
                                                  <w:divBdr>
                                                    <w:top w:val="none" w:sz="0" w:space="0" w:color="auto"/>
                                                    <w:left w:val="none" w:sz="0" w:space="0" w:color="auto"/>
                                                    <w:bottom w:val="none" w:sz="0" w:space="0" w:color="auto"/>
                                                    <w:right w:val="none" w:sz="0" w:space="0" w:color="auto"/>
                                                  </w:divBdr>
                                                </w:div>
                                                <w:div w:id="1919558056">
                                                  <w:marLeft w:val="0"/>
                                                  <w:marRight w:val="0"/>
                                                  <w:marTop w:val="0"/>
                                                  <w:marBottom w:val="0"/>
                                                  <w:divBdr>
                                                    <w:top w:val="none" w:sz="0" w:space="0" w:color="auto"/>
                                                    <w:left w:val="none" w:sz="0" w:space="0" w:color="auto"/>
                                                    <w:bottom w:val="none" w:sz="0" w:space="0" w:color="auto"/>
                                                    <w:right w:val="none" w:sz="0" w:space="0" w:color="auto"/>
                                                  </w:divBdr>
                                                </w:div>
                                                <w:div w:id="1440756845">
                                                  <w:marLeft w:val="0"/>
                                                  <w:marRight w:val="0"/>
                                                  <w:marTop w:val="0"/>
                                                  <w:marBottom w:val="0"/>
                                                  <w:divBdr>
                                                    <w:top w:val="none" w:sz="0" w:space="0" w:color="auto"/>
                                                    <w:left w:val="none" w:sz="0" w:space="0" w:color="auto"/>
                                                    <w:bottom w:val="none" w:sz="0" w:space="0" w:color="auto"/>
                                                    <w:right w:val="none" w:sz="0" w:space="0" w:color="auto"/>
                                                  </w:divBdr>
                                                  <w:divsChild>
                                                    <w:div w:id="1236159812">
                                                      <w:marLeft w:val="0"/>
                                                      <w:marRight w:val="0"/>
                                                      <w:marTop w:val="0"/>
                                                      <w:marBottom w:val="0"/>
                                                      <w:divBdr>
                                                        <w:top w:val="none" w:sz="0" w:space="0" w:color="auto"/>
                                                        <w:left w:val="none" w:sz="0" w:space="0" w:color="auto"/>
                                                        <w:bottom w:val="none" w:sz="0" w:space="0" w:color="auto"/>
                                                        <w:right w:val="none" w:sz="0" w:space="0" w:color="auto"/>
                                                      </w:divBdr>
                                                    </w:div>
                                                  </w:divsChild>
                                                </w:div>
                                                <w:div w:id="1465657070">
                                                  <w:marLeft w:val="0"/>
                                                  <w:marRight w:val="0"/>
                                                  <w:marTop w:val="0"/>
                                                  <w:marBottom w:val="0"/>
                                                  <w:divBdr>
                                                    <w:top w:val="none" w:sz="0" w:space="0" w:color="auto"/>
                                                    <w:left w:val="none" w:sz="0" w:space="0" w:color="auto"/>
                                                    <w:bottom w:val="none" w:sz="0" w:space="0" w:color="auto"/>
                                                    <w:right w:val="none" w:sz="0" w:space="0" w:color="auto"/>
                                                  </w:divBdr>
                                                </w:div>
                                                <w:div w:id="325329761">
                                                  <w:marLeft w:val="0"/>
                                                  <w:marRight w:val="0"/>
                                                  <w:marTop w:val="0"/>
                                                  <w:marBottom w:val="0"/>
                                                  <w:divBdr>
                                                    <w:top w:val="none" w:sz="0" w:space="0" w:color="auto"/>
                                                    <w:left w:val="none" w:sz="0" w:space="0" w:color="auto"/>
                                                    <w:bottom w:val="none" w:sz="0" w:space="0" w:color="auto"/>
                                                    <w:right w:val="none" w:sz="0" w:space="0" w:color="auto"/>
                                                  </w:divBdr>
                                                </w:div>
                                                <w:div w:id="1662849347">
                                                  <w:marLeft w:val="0"/>
                                                  <w:marRight w:val="0"/>
                                                  <w:marTop w:val="0"/>
                                                  <w:marBottom w:val="0"/>
                                                  <w:divBdr>
                                                    <w:top w:val="none" w:sz="0" w:space="0" w:color="auto"/>
                                                    <w:left w:val="none" w:sz="0" w:space="0" w:color="auto"/>
                                                    <w:bottom w:val="none" w:sz="0" w:space="0" w:color="auto"/>
                                                    <w:right w:val="none" w:sz="0" w:space="0" w:color="auto"/>
                                                  </w:divBdr>
                                                </w:div>
                                                <w:div w:id="8701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829817">
      <w:bodyDiv w:val="1"/>
      <w:marLeft w:val="0"/>
      <w:marRight w:val="0"/>
      <w:marTop w:val="0"/>
      <w:marBottom w:val="0"/>
      <w:divBdr>
        <w:top w:val="none" w:sz="0" w:space="0" w:color="auto"/>
        <w:left w:val="none" w:sz="0" w:space="0" w:color="auto"/>
        <w:bottom w:val="none" w:sz="0" w:space="0" w:color="auto"/>
        <w:right w:val="none" w:sz="0" w:space="0" w:color="auto"/>
      </w:divBdr>
    </w:div>
    <w:div w:id="352997175">
      <w:bodyDiv w:val="1"/>
      <w:marLeft w:val="0"/>
      <w:marRight w:val="0"/>
      <w:marTop w:val="0"/>
      <w:marBottom w:val="0"/>
      <w:divBdr>
        <w:top w:val="none" w:sz="0" w:space="0" w:color="auto"/>
        <w:left w:val="none" w:sz="0" w:space="0" w:color="auto"/>
        <w:bottom w:val="none" w:sz="0" w:space="0" w:color="auto"/>
        <w:right w:val="none" w:sz="0" w:space="0" w:color="auto"/>
      </w:divBdr>
    </w:div>
    <w:div w:id="451748783">
      <w:bodyDiv w:val="1"/>
      <w:marLeft w:val="0"/>
      <w:marRight w:val="0"/>
      <w:marTop w:val="0"/>
      <w:marBottom w:val="0"/>
      <w:divBdr>
        <w:top w:val="none" w:sz="0" w:space="0" w:color="auto"/>
        <w:left w:val="none" w:sz="0" w:space="0" w:color="auto"/>
        <w:bottom w:val="none" w:sz="0" w:space="0" w:color="auto"/>
        <w:right w:val="none" w:sz="0" w:space="0" w:color="auto"/>
      </w:divBdr>
    </w:div>
    <w:div w:id="512574809">
      <w:bodyDiv w:val="1"/>
      <w:marLeft w:val="0"/>
      <w:marRight w:val="0"/>
      <w:marTop w:val="0"/>
      <w:marBottom w:val="0"/>
      <w:divBdr>
        <w:top w:val="none" w:sz="0" w:space="0" w:color="auto"/>
        <w:left w:val="none" w:sz="0" w:space="0" w:color="auto"/>
        <w:bottom w:val="none" w:sz="0" w:space="0" w:color="auto"/>
        <w:right w:val="none" w:sz="0" w:space="0" w:color="auto"/>
      </w:divBdr>
    </w:div>
    <w:div w:id="568152119">
      <w:bodyDiv w:val="1"/>
      <w:marLeft w:val="0"/>
      <w:marRight w:val="0"/>
      <w:marTop w:val="0"/>
      <w:marBottom w:val="0"/>
      <w:divBdr>
        <w:top w:val="none" w:sz="0" w:space="0" w:color="auto"/>
        <w:left w:val="none" w:sz="0" w:space="0" w:color="auto"/>
        <w:bottom w:val="none" w:sz="0" w:space="0" w:color="auto"/>
        <w:right w:val="none" w:sz="0" w:space="0" w:color="auto"/>
      </w:divBdr>
    </w:div>
    <w:div w:id="650868382">
      <w:bodyDiv w:val="1"/>
      <w:marLeft w:val="0"/>
      <w:marRight w:val="0"/>
      <w:marTop w:val="0"/>
      <w:marBottom w:val="0"/>
      <w:divBdr>
        <w:top w:val="none" w:sz="0" w:space="0" w:color="auto"/>
        <w:left w:val="none" w:sz="0" w:space="0" w:color="auto"/>
        <w:bottom w:val="none" w:sz="0" w:space="0" w:color="auto"/>
        <w:right w:val="none" w:sz="0" w:space="0" w:color="auto"/>
      </w:divBdr>
    </w:div>
    <w:div w:id="670834254">
      <w:bodyDiv w:val="1"/>
      <w:marLeft w:val="0"/>
      <w:marRight w:val="0"/>
      <w:marTop w:val="0"/>
      <w:marBottom w:val="0"/>
      <w:divBdr>
        <w:top w:val="none" w:sz="0" w:space="0" w:color="auto"/>
        <w:left w:val="none" w:sz="0" w:space="0" w:color="auto"/>
        <w:bottom w:val="none" w:sz="0" w:space="0" w:color="auto"/>
        <w:right w:val="none" w:sz="0" w:space="0" w:color="auto"/>
      </w:divBdr>
    </w:div>
    <w:div w:id="857163313">
      <w:bodyDiv w:val="1"/>
      <w:marLeft w:val="0"/>
      <w:marRight w:val="0"/>
      <w:marTop w:val="0"/>
      <w:marBottom w:val="0"/>
      <w:divBdr>
        <w:top w:val="none" w:sz="0" w:space="0" w:color="auto"/>
        <w:left w:val="none" w:sz="0" w:space="0" w:color="auto"/>
        <w:bottom w:val="none" w:sz="0" w:space="0" w:color="auto"/>
        <w:right w:val="none" w:sz="0" w:space="0" w:color="auto"/>
      </w:divBdr>
    </w:div>
    <w:div w:id="965892539">
      <w:bodyDiv w:val="1"/>
      <w:marLeft w:val="0"/>
      <w:marRight w:val="0"/>
      <w:marTop w:val="0"/>
      <w:marBottom w:val="0"/>
      <w:divBdr>
        <w:top w:val="none" w:sz="0" w:space="0" w:color="auto"/>
        <w:left w:val="none" w:sz="0" w:space="0" w:color="auto"/>
        <w:bottom w:val="none" w:sz="0" w:space="0" w:color="auto"/>
        <w:right w:val="none" w:sz="0" w:space="0" w:color="auto"/>
      </w:divBdr>
    </w:div>
    <w:div w:id="982662389">
      <w:bodyDiv w:val="1"/>
      <w:marLeft w:val="0"/>
      <w:marRight w:val="0"/>
      <w:marTop w:val="0"/>
      <w:marBottom w:val="0"/>
      <w:divBdr>
        <w:top w:val="none" w:sz="0" w:space="0" w:color="auto"/>
        <w:left w:val="none" w:sz="0" w:space="0" w:color="auto"/>
        <w:bottom w:val="none" w:sz="0" w:space="0" w:color="auto"/>
        <w:right w:val="none" w:sz="0" w:space="0" w:color="auto"/>
      </w:divBdr>
      <w:divsChild>
        <w:div w:id="1385567285">
          <w:marLeft w:val="0"/>
          <w:marRight w:val="0"/>
          <w:marTop w:val="0"/>
          <w:marBottom w:val="0"/>
          <w:divBdr>
            <w:top w:val="none" w:sz="0" w:space="0" w:color="auto"/>
            <w:left w:val="none" w:sz="0" w:space="0" w:color="auto"/>
            <w:bottom w:val="none" w:sz="0" w:space="0" w:color="auto"/>
            <w:right w:val="none" w:sz="0" w:space="0" w:color="auto"/>
          </w:divBdr>
          <w:divsChild>
            <w:div w:id="2103868920">
              <w:marLeft w:val="0"/>
              <w:marRight w:val="0"/>
              <w:marTop w:val="0"/>
              <w:marBottom w:val="0"/>
              <w:divBdr>
                <w:top w:val="none" w:sz="0" w:space="0" w:color="auto"/>
                <w:left w:val="none" w:sz="0" w:space="0" w:color="auto"/>
                <w:bottom w:val="none" w:sz="0" w:space="0" w:color="auto"/>
                <w:right w:val="none" w:sz="0" w:space="0" w:color="auto"/>
              </w:divBdr>
              <w:divsChild>
                <w:div w:id="1273173190">
                  <w:marLeft w:val="0"/>
                  <w:marRight w:val="0"/>
                  <w:marTop w:val="0"/>
                  <w:marBottom w:val="0"/>
                  <w:divBdr>
                    <w:top w:val="none" w:sz="0" w:space="0" w:color="auto"/>
                    <w:left w:val="none" w:sz="0" w:space="0" w:color="auto"/>
                    <w:bottom w:val="none" w:sz="0" w:space="0" w:color="auto"/>
                    <w:right w:val="none" w:sz="0" w:space="0" w:color="auto"/>
                  </w:divBdr>
                  <w:divsChild>
                    <w:div w:id="234046207">
                      <w:marLeft w:val="0"/>
                      <w:marRight w:val="0"/>
                      <w:marTop w:val="0"/>
                      <w:marBottom w:val="0"/>
                      <w:divBdr>
                        <w:top w:val="none" w:sz="0" w:space="0" w:color="auto"/>
                        <w:left w:val="none" w:sz="0" w:space="0" w:color="auto"/>
                        <w:bottom w:val="none" w:sz="0" w:space="0" w:color="auto"/>
                        <w:right w:val="none" w:sz="0" w:space="0" w:color="auto"/>
                      </w:divBdr>
                      <w:divsChild>
                        <w:div w:id="1039285866">
                          <w:marLeft w:val="0"/>
                          <w:marRight w:val="0"/>
                          <w:marTop w:val="0"/>
                          <w:marBottom w:val="0"/>
                          <w:divBdr>
                            <w:top w:val="none" w:sz="0" w:space="0" w:color="auto"/>
                            <w:left w:val="none" w:sz="0" w:space="0" w:color="auto"/>
                            <w:bottom w:val="none" w:sz="0" w:space="0" w:color="auto"/>
                            <w:right w:val="none" w:sz="0" w:space="0" w:color="auto"/>
                          </w:divBdr>
                          <w:divsChild>
                            <w:div w:id="2019967959">
                              <w:marLeft w:val="-225"/>
                              <w:marRight w:val="-225"/>
                              <w:marTop w:val="0"/>
                              <w:marBottom w:val="0"/>
                              <w:divBdr>
                                <w:top w:val="none" w:sz="0" w:space="0" w:color="auto"/>
                                <w:left w:val="none" w:sz="0" w:space="0" w:color="auto"/>
                                <w:bottom w:val="none" w:sz="0" w:space="0" w:color="auto"/>
                                <w:right w:val="none" w:sz="0" w:space="0" w:color="auto"/>
                              </w:divBdr>
                              <w:divsChild>
                                <w:div w:id="1463958569">
                                  <w:marLeft w:val="0"/>
                                  <w:marRight w:val="0"/>
                                  <w:marTop w:val="0"/>
                                  <w:marBottom w:val="0"/>
                                  <w:divBdr>
                                    <w:top w:val="none" w:sz="0" w:space="0" w:color="auto"/>
                                    <w:left w:val="none" w:sz="0" w:space="0" w:color="auto"/>
                                    <w:bottom w:val="none" w:sz="0" w:space="0" w:color="auto"/>
                                    <w:right w:val="none" w:sz="0" w:space="0" w:color="auto"/>
                                  </w:divBdr>
                                  <w:divsChild>
                                    <w:div w:id="452484655">
                                      <w:marLeft w:val="-225"/>
                                      <w:marRight w:val="0"/>
                                      <w:marTop w:val="0"/>
                                      <w:marBottom w:val="0"/>
                                      <w:divBdr>
                                        <w:top w:val="none" w:sz="0" w:space="0" w:color="auto"/>
                                        <w:left w:val="none" w:sz="0" w:space="0" w:color="auto"/>
                                        <w:bottom w:val="none" w:sz="0" w:space="0" w:color="auto"/>
                                        <w:right w:val="none" w:sz="0" w:space="0" w:color="auto"/>
                                      </w:divBdr>
                                      <w:divsChild>
                                        <w:div w:id="1466508615">
                                          <w:marLeft w:val="0"/>
                                          <w:marRight w:val="0"/>
                                          <w:marTop w:val="0"/>
                                          <w:marBottom w:val="133"/>
                                          <w:divBdr>
                                            <w:top w:val="none" w:sz="0" w:space="0" w:color="auto"/>
                                            <w:left w:val="none" w:sz="0" w:space="0" w:color="auto"/>
                                            <w:bottom w:val="none" w:sz="0" w:space="0" w:color="auto"/>
                                            <w:right w:val="none" w:sz="0" w:space="0" w:color="auto"/>
                                          </w:divBdr>
                                          <w:divsChild>
                                            <w:div w:id="568345774">
                                              <w:marLeft w:val="0"/>
                                              <w:marRight w:val="0"/>
                                              <w:marTop w:val="0"/>
                                              <w:marBottom w:val="0"/>
                                              <w:divBdr>
                                                <w:top w:val="none" w:sz="0" w:space="0" w:color="auto"/>
                                                <w:left w:val="none" w:sz="0" w:space="0" w:color="auto"/>
                                                <w:bottom w:val="none" w:sz="0" w:space="0" w:color="auto"/>
                                                <w:right w:val="none" w:sz="0" w:space="0" w:color="auto"/>
                                              </w:divBdr>
                                            </w:div>
                                          </w:divsChild>
                                        </w:div>
                                        <w:div w:id="2081368478">
                                          <w:marLeft w:val="0"/>
                                          <w:marRight w:val="0"/>
                                          <w:marTop w:val="0"/>
                                          <w:marBottom w:val="133"/>
                                          <w:divBdr>
                                            <w:top w:val="none" w:sz="0" w:space="0" w:color="auto"/>
                                            <w:left w:val="none" w:sz="0" w:space="0" w:color="auto"/>
                                            <w:bottom w:val="none" w:sz="0" w:space="0" w:color="auto"/>
                                            <w:right w:val="none" w:sz="0" w:space="0" w:color="auto"/>
                                          </w:divBdr>
                                          <w:divsChild>
                                            <w:div w:id="1796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6031">
      <w:bodyDiv w:val="1"/>
      <w:marLeft w:val="0"/>
      <w:marRight w:val="0"/>
      <w:marTop w:val="0"/>
      <w:marBottom w:val="0"/>
      <w:divBdr>
        <w:top w:val="none" w:sz="0" w:space="0" w:color="auto"/>
        <w:left w:val="none" w:sz="0" w:space="0" w:color="auto"/>
        <w:bottom w:val="none" w:sz="0" w:space="0" w:color="auto"/>
        <w:right w:val="none" w:sz="0" w:space="0" w:color="auto"/>
      </w:divBdr>
    </w:div>
    <w:div w:id="1182546679">
      <w:bodyDiv w:val="1"/>
      <w:marLeft w:val="0"/>
      <w:marRight w:val="0"/>
      <w:marTop w:val="0"/>
      <w:marBottom w:val="0"/>
      <w:divBdr>
        <w:top w:val="none" w:sz="0" w:space="0" w:color="auto"/>
        <w:left w:val="none" w:sz="0" w:space="0" w:color="auto"/>
        <w:bottom w:val="none" w:sz="0" w:space="0" w:color="auto"/>
        <w:right w:val="none" w:sz="0" w:space="0" w:color="auto"/>
      </w:divBdr>
      <w:divsChild>
        <w:div w:id="1617525293">
          <w:marLeft w:val="0"/>
          <w:marRight w:val="0"/>
          <w:marTop w:val="0"/>
          <w:marBottom w:val="0"/>
          <w:divBdr>
            <w:top w:val="none" w:sz="0" w:space="0" w:color="auto"/>
            <w:left w:val="none" w:sz="0" w:space="0" w:color="auto"/>
            <w:bottom w:val="none" w:sz="0" w:space="0" w:color="auto"/>
            <w:right w:val="none" w:sz="0" w:space="0" w:color="auto"/>
          </w:divBdr>
          <w:divsChild>
            <w:div w:id="814034192">
              <w:marLeft w:val="0"/>
              <w:marRight w:val="0"/>
              <w:marTop w:val="0"/>
              <w:marBottom w:val="0"/>
              <w:divBdr>
                <w:top w:val="none" w:sz="0" w:space="0" w:color="auto"/>
                <w:left w:val="none" w:sz="0" w:space="0" w:color="auto"/>
                <w:bottom w:val="none" w:sz="0" w:space="0" w:color="auto"/>
                <w:right w:val="none" w:sz="0" w:space="0" w:color="auto"/>
              </w:divBdr>
              <w:divsChild>
                <w:div w:id="889223785">
                  <w:marLeft w:val="0"/>
                  <w:marRight w:val="0"/>
                  <w:marTop w:val="0"/>
                  <w:marBottom w:val="0"/>
                  <w:divBdr>
                    <w:top w:val="none" w:sz="0" w:space="0" w:color="auto"/>
                    <w:left w:val="none" w:sz="0" w:space="0" w:color="auto"/>
                    <w:bottom w:val="none" w:sz="0" w:space="0" w:color="auto"/>
                    <w:right w:val="none" w:sz="0" w:space="0" w:color="auto"/>
                  </w:divBdr>
                  <w:divsChild>
                    <w:div w:id="599991053">
                      <w:marLeft w:val="0"/>
                      <w:marRight w:val="0"/>
                      <w:marTop w:val="0"/>
                      <w:marBottom w:val="0"/>
                      <w:divBdr>
                        <w:top w:val="none" w:sz="0" w:space="0" w:color="auto"/>
                        <w:left w:val="none" w:sz="0" w:space="0" w:color="auto"/>
                        <w:bottom w:val="none" w:sz="0" w:space="0" w:color="auto"/>
                        <w:right w:val="none" w:sz="0" w:space="0" w:color="auto"/>
                      </w:divBdr>
                      <w:divsChild>
                        <w:div w:id="754517897">
                          <w:marLeft w:val="0"/>
                          <w:marRight w:val="0"/>
                          <w:marTop w:val="0"/>
                          <w:marBottom w:val="0"/>
                          <w:divBdr>
                            <w:top w:val="none" w:sz="0" w:space="0" w:color="auto"/>
                            <w:left w:val="none" w:sz="0" w:space="0" w:color="auto"/>
                            <w:bottom w:val="none" w:sz="0" w:space="0" w:color="auto"/>
                            <w:right w:val="none" w:sz="0" w:space="0" w:color="auto"/>
                          </w:divBdr>
                          <w:divsChild>
                            <w:div w:id="1256211752">
                              <w:marLeft w:val="-225"/>
                              <w:marRight w:val="-225"/>
                              <w:marTop w:val="0"/>
                              <w:marBottom w:val="0"/>
                              <w:divBdr>
                                <w:top w:val="none" w:sz="0" w:space="0" w:color="auto"/>
                                <w:left w:val="none" w:sz="0" w:space="0" w:color="auto"/>
                                <w:bottom w:val="none" w:sz="0" w:space="0" w:color="auto"/>
                                <w:right w:val="none" w:sz="0" w:space="0" w:color="auto"/>
                              </w:divBdr>
                              <w:divsChild>
                                <w:div w:id="1575050232">
                                  <w:marLeft w:val="0"/>
                                  <w:marRight w:val="0"/>
                                  <w:marTop w:val="0"/>
                                  <w:marBottom w:val="0"/>
                                  <w:divBdr>
                                    <w:top w:val="none" w:sz="0" w:space="0" w:color="auto"/>
                                    <w:left w:val="none" w:sz="0" w:space="0" w:color="auto"/>
                                    <w:bottom w:val="none" w:sz="0" w:space="0" w:color="auto"/>
                                    <w:right w:val="none" w:sz="0" w:space="0" w:color="auto"/>
                                  </w:divBdr>
                                  <w:divsChild>
                                    <w:div w:id="1503012188">
                                      <w:marLeft w:val="-225"/>
                                      <w:marRight w:val="0"/>
                                      <w:marTop w:val="0"/>
                                      <w:marBottom w:val="0"/>
                                      <w:divBdr>
                                        <w:top w:val="none" w:sz="0" w:space="0" w:color="auto"/>
                                        <w:left w:val="none" w:sz="0" w:space="0" w:color="auto"/>
                                        <w:bottom w:val="none" w:sz="0" w:space="0" w:color="auto"/>
                                        <w:right w:val="none" w:sz="0" w:space="0" w:color="auto"/>
                                      </w:divBdr>
                                      <w:divsChild>
                                        <w:div w:id="680738673">
                                          <w:marLeft w:val="0"/>
                                          <w:marRight w:val="0"/>
                                          <w:marTop w:val="0"/>
                                          <w:marBottom w:val="133"/>
                                          <w:divBdr>
                                            <w:top w:val="none" w:sz="0" w:space="0" w:color="auto"/>
                                            <w:left w:val="none" w:sz="0" w:space="0" w:color="auto"/>
                                            <w:bottom w:val="none" w:sz="0" w:space="0" w:color="auto"/>
                                            <w:right w:val="none" w:sz="0" w:space="0" w:color="auto"/>
                                          </w:divBdr>
                                          <w:divsChild>
                                            <w:div w:id="632979386">
                                              <w:marLeft w:val="0"/>
                                              <w:marRight w:val="0"/>
                                              <w:marTop w:val="0"/>
                                              <w:marBottom w:val="0"/>
                                              <w:divBdr>
                                                <w:top w:val="none" w:sz="0" w:space="0" w:color="auto"/>
                                                <w:left w:val="none" w:sz="0" w:space="0" w:color="auto"/>
                                                <w:bottom w:val="none" w:sz="0" w:space="0" w:color="auto"/>
                                                <w:right w:val="none" w:sz="0" w:space="0" w:color="auto"/>
                                              </w:divBdr>
                                            </w:div>
                                          </w:divsChild>
                                        </w:div>
                                        <w:div w:id="1174295814">
                                          <w:marLeft w:val="0"/>
                                          <w:marRight w:val="0"/>
                                          <w:marTop w:val="0"/>
                                          <w:marBottom w:val="133"/>
                                          <w:divBdr>
                                            <w:top w:val="none" w:sz="0" w:space="0" w:color="auto"/>
                                            <w:left w:val="none" w:sz="0" w:space="0" w:color="auto"/>
                                            <w:bottom w:val="none" w:sz="0" w:space="0" w:color="auto"/>
                                            <w:right w:val="none" w:sz="0" w:space="0" w:color="auto"/>
                                          </w:divBdr>
                                          <w:divsChild>
                                            <w:div w:id="1039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3855">
      <w:bodyDiv w:val="1"/>
      <w:marLeft w:val="0"/>
      <w:marRight w:val="0"/>
      <w:marTop w:val="0"/>
      <w:marBottom w:val="0"/>
      <w:divBdr>
        <w:top w:val="none" w:sz="0" w:space="0" w:color="auto"/>
        <w:left w:val="none" w:sz="0" w:space="0" w:color="auto"/>
        <w:bottom w:val="none" w:sz="0" w:space="0" w:color="auto"/>
        <w:right w:val="none" w:sz="0" w:space="0" w:color="auto"/>
      </w:divBdr>
      <w:divsChild>
        <w:div w:id="546533933">
          <w:marLeft w:val="0"/>
          <w:marRight w:val="0"/>
          <w:marTop w:val="0"/>
          <w:marBottom w:val="0"/>
          <w:divBdr>
            <w:top w:val="none" w:sz="0" w:space="0" w:color="auto"/>
            <w:left w:val="none" w:sz="0" w:space="0" w:color="auto"/>
            <w:bottom w:val="none" w:sz="0" w:space="0" w:color="auto"/>
            <w:right w:val="none" w:sz="0" w:space="0" w:color="auto"/>
          </w:divBdr>
          <w:divsChild>
            <w:div w:id="988706285">
              <w:marLeft w:val="0"/>
              <w:marRight w:val="0"/>
              <w:marTop w:val="0"/>
              <w:marBottom w:val="0"/>
              <w:divBdr>
                <w:top w:val="none" w:sz="0" w:space="0" w:color="auto"/>
                <w:left w:val="none" w:sz="0" w:space="0" w:color="auto"/>
                <w:bottom w:val="none" w:sz="0" w:space="0" w:color="auto"/>
                <w:right w:val="none" w:sz="0" w:space="0" w:color="auto"/>
              </w:divBdr>
              <w:divsChild>
                <w:div w:id="719286401">
                  <w:marLeft w:val="0"/>
                  <w:marRight w:val="0"/>
                  <w:marTop w:val="0"/>
                  <w:marBottom w:val="0"/>
                  <w:divBdr>
                    <w:top w:val="none" w:sz="0" w:space="0" w:color="auto"/>
                    <w:left w:val="none" w:sz="0" w:space="0" w:color="auto"/>
                    <w:bottom w:val="none" w:sz="0" w:space="0" w:color="auto"/>
                    <w:right w:val="none" w:sz="0" w:space="0" w:color="auto"/>
                  </w:divBdr>
                  <w:divsChild>
                    <w:div w:id="1160654369">
                      <w:marLeft w:val="0"/>
                      <w:marRight w:val="0"/>
                      <w:marTop w:val="0"/>
                      <w:marBottom w:val="0"/>
                      <w:divBdr>
                        <w:top w:val="none" w:sz="0" w:space="0" w:color="auto"/>
                        <w:left w:val="none" w:sz="0" w:space="0" w:color="auto"/>
                        <w:bottom w:val="none" w:sz="0" w:space="0" w:color="auto"/>
                        <w:right w:val="none" w:sz="0" w:space="0" w:color="auto"/>
                      </w:divBdr>
                    </w:div>
                    <w:div w:id="1058434025">
                      <w:marLeft w:val="0"/>
                      <w:marRight w:val="0"/>
                      <w:marTop w:val="0"/>
                      <w:marBottom w:val="0"/>
                      <w:divBdr>
                        <w:top w:val="none" w:sz="0" w:space="0" w:color="auto"/>
                        <w:left w:val="none" w:sz="0" w:space="0" w:color="auto"/>
                        <w:bottom w:val="none" w:sz="0" w:space="0" w:color="auto"/>
                        <w:right w:val="none" w:sz="0" w:space="0" w:color="auto"/>
                      </w:divBdr>
                    </w:div>
                    <w:div w:id="17192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1780">
      <w:bodyDiv w:val="1"/>
      <w:marLeft w:val="0"/>
      <w:marRight w:val="0"/>
      <w:marTop w:val="0"/>
      <w:marBottom w:val="0"/>
      <w:divBdr>
        <w:top w:val="none" w:sz="0" w:space="0" w:color="auto"/>
        <w:left w:val="none" w:sz="0" w:space="0" w:color="auto"/>
        <w:bottom w:val="none" w:sz="0" w:space="0" w:color="auto"/>
        <w:right w:val="none" w:sz="0" w:space="0" w:color="auto"/>
      </w:divBdr>
    </w:div>
    <w:div w:id="1396733856">
      <w:bodyDiv w:val="1"/>
      <w:marLeft w:val="0"/>
      <w:marRight w:val="0"/>
      <w:marTop w:val="0"/>
      <w:marBottom w:val="0"/>
      <w:divBdr>
        <w:top w:val="none" w:sz="0" w:space="0" w:color="auto"/>
        <w:left w:val="none" w:sz="0" w:space="0" w:color="auto"/>
        <w:bottom w:val="none" w:sz="0" w:space="0" w:color="auto"/>
        <w:right w:val="none" w:sz="0" w:space="0" w:color="auto"/>
      </w:divBdr>
    </w:div>
    <w:div w:id="1753967737">
      <w:bodyDiv w:val="1"/>
      <w:marLeft w:val="0"/>
      <w:marRight w:val="0"/>
      <w:marTop w:val="0"/>
      <w:marBottom w:val="0"/>
      <w:divBdr>
        <w:top w:val="none" w:sz="0" w:space="0" w:color="auto"/>
        <w:left w:val="none" w:sz="0" w:space="0" w:color="auto"/>
        <w:bottom w:val="none" w:sz="0" w:space="0" w:color="auto"/>
        <w:right w:val="none" w:sz="0" w:space="0" w:color="auto"/>
      </w:divBdr>
    </w:div>
    <w:div w:id="1771390543">
      <w:bodyDiv w:val="1"/>
      <w:marLeft w:val="0"/>
      <w:marRight w:val="0"/>
      <w:marTop w:val="0"/>
      <w:marBottom w:val="0"/>
      <w:divBdr>
        <w:top w:val="none" w:sz="0" w:space="0" w:color="auto"/>
        <w:left w:val="none" w:sz="0" w:space="0" w:color="auto"/>
        <w:bottom w:val="none" w:sz="0" w:space="0" w:color="auto"/>
        <w:right w:val="none" w:sz="0" w:space="0" w:color="auto"/>
      </w:divBdr>
    </w:div>
    <w:div w:id="1917206378">
      <w:bodyDiv w:val="1"/>
      <w:marLeft w:val="0"/>
      <w:marRight w:val="0"/>
      <w:marTop w:val="0"/>
      <w:marBottom w:val="0"/>
      <w:divBdr>
        <w:top w:val="none" w:sz="0" w:space="0" w:color="auto"/>
        <w:left w:val="none" w:sz="0" w:space="0" w:color="auto"/>
        <w:bottom w:val="none" w:sz="0" w:space="0" w:color="auto"/>
        <w:right w:val="none" w:sz="0" w:space="0" w:color="auto"/>
      </w:divBdr>
    </w:div>
    <w:div w:id="1955867964">
      <w:bodyDiv w:val="1"/>
      <w:marLeft w:val="0"/>
      <w:marRight w:val="0"/>
      <w:marTop w:val="0"/>
      <w:marBottom w:val="0"/>
      <w:divBdr>
        <w:top w:val="none" w:sz="0" w:space="0" w:color="auto"/>
        <w:left w:val="none" w:sz="0" w:space="0" w:color="auto"/>
        <w:bottom w:val="none" w:sz="0" w:space="0" w:color="auto"/>
        <w:right w:val="none" w:sz="0" w:space="0" w:color="auto"/>
      </w:divBdr>
    </w:div>
    <w:div w:id="2016960052">
      <w:bodyDiv w:val="1"/>
      <w:marLeft w:val="0"/>
      <w:marRight w:val="0"/>
      <w:marTop w:val="0"/>
      <w:marBottom w:val="0"/>
      <w:divBdr>
        <w:top w:val="none" w:sz="0" w:space="0" w:color="auto"/>
        <w:left w:val="none" w:sz="0" w:space="0" w:color="auto"/>
        <w:bottom w:val="none" w:sz="0" w:space="0" w:color="auto"/>
        <w:right w:val="none" w:sz="0" w:space="0" w:color="auto"/>
      </w:divBdr>
    </w:div>
    <w:div w:id="2109957202">
      <w:bodyDiv w:val="1"/>
      <w:marLeft w:val="0"/>
      <w:marRight w:val="0"/>
      <w:marTop w:val="0"/>
      <w:marBottom w:val="0"/>
      <w:divBdr>
        <w:top w:val="none" w:sz="0" w:space="0" w:color="auto"/>
        <w:left w:val="none" w:sz="0" w:space="0" w:color="auto"/>
        <w:bottom w:val="none" w:sz="0" w:space="0" w:color="auto"/>
        <w:right w:val="none" w:sz="0" w:space="0" w:color="auto"/>
      </w:divBdr>
    </w:div>
    <w:div w:id="2135251147">
      <w:bodyDiv w:val="1"/>
      <w:marLeft w:val="0"/>
      <w:marRight w:val="0"/>
      <w:marTop w:val="0"/>
      <w:marBottom w:val="0"/>
      <w:divBdr>
        <w:top w:val="none" w:sz="0" w:space="0" w:color="auto"/>
        <w:left w:val="none" w:sz="0" w:space="0" w:color="auto"/>
        <w:bottom w:val="none" w:sz="0" w:space="0" w:color="auto"/>
        <w:right w:val="none" w:sz="0" w:space="0" w:color="auto"/>
      </w:divBdr>
      <w:divsChild>
        <w:div w:id="367489832">
          <w:marLeft w:val="0"/>
          <w:marRight w:val="0"/>
          <w:marTop w:val="0"/>
          <w:marBottom w:val="0"/>
          <w:divBdr>
            <w:top w:val="none" w:sz="0" w:space="0" w:color="auto"/>
            <w:left w:val="none" w:sz="0" w:space="0" w:color="auto"/>
            <w:bottom w:val="none" w:sz="0" w:space="0" w:color="auto"/>
            <w:right w:val="none" w:sz="0" w:space="0" w:color="auto"/>
          </w:divBdr>
          <w:divsChild>
            <w:div w:id="286399574">
              <w:marLeft w:val="0"/>
              <w:marRight w:val="0"/>
              <w:marTop w:val="0"/>
              <w:marBottom w:val="0"/>
              <w:divBdr>
                <w:top w:val="none" w:sz="0" w:space="0" w:color="auto"/>
                <w:left w:val="none" w:sz="0" w:space="0" w:color="auto"/>
                <w:bottom w:val="none" w:sz="0" w:space="0" w:color="auto"/>
                <w:right w:val="none" w:sz="0" w:space="0" w:color="auto"/>
              </w:divBdr>
              <w:divsChild>
                <w:div w:id="1505046929">
                  <w:marLeft w:val="0"/>
                  <w:marRight w:val="0"/>
                  <w:marTop w:val="0"/>
                  <w:marBottom w:val="0"/>
                  <w:divBdr>
                    <w:top w:val="none" w:sz="0" w:space="0" w:color="auto"/>
                    <w:left w:val="none" w:sz="0" w:space="0" w:color="auto"/>
                    <w:bottom w:val="none" w:sz="0" w:space="0" w:color="auto"/>
                    <w:right w:val="none" w:sz="0" w:space="0" w:color="auto"/>
                  </w:divBdr>
                  <w:divsChild>
                    <w:div w:id="604575097">
                      <w:marLeft w:val="0"/>
                      <w:marRight w:val="0"/>
                      <w:marTop w:val="0"/>
                      <w:marBottom w:val="0"/>
                      <w:divBdr>
                        <w:top w:val="none" w:sz="0" w:space="0" w:color="auto"/>
                        <w:left w:val="none" w:sz="0" w:space="0" w:color="auto"/>
                        <w:bottom w:val="none" w:sz="0" w:space="0" w:color="auto"/>
                        <w:right w:val="none" w:sz="0" w:space="0" w:color="auto"/>
                      </w:divBdr>
                      <w:divsChild>
                        <w:div w:id="14577075">
                          <w:marLeft w:val="0"/>
                          <w:marRight w:val="0"/>
                          <w:marTop w:val="0"/>
                          <w:marBottom w:val="0"/>
                          <w:divBdr>
                            <w:top w:val="none" w:sz="0" w:space="0" w:color="auto"/>
                            <w:left w:val="none" w:sz="0" w:space="0" w:color="auto"/>
                            <w:bottom w:val="none" w:sz="0" w:space="0" w:color="auto"/>
                            <w:right w:val="none" w:sz="0" w:space="0" w:color="auto"/>
                          </w:divBdr>
                          <w:divsChild>
                            <w:div w:id="1135489247">
                              <w:marLeft w:val="0"/>
                              <w:marRight w:val="0"/>
                              <w:marTop w:val="0"/>
                              <w:marBottom w:val="0"/>
                              <w:divBdr>
                                <w:top w:val="none" w:sz="0" w:space="0" w:color="auto"/>
                                <w:left w:val="none" w:sz="0" w:space="0" w:color="auto"/>
                                <w:bottom w:val="none" w:sz="0" w:space="0" w:color="auto"/>
                                <w:right w:val="none" w:sz="0" w:space="0" w:color="auto"/>
                              </w:divBdr>
                              <w:divsChild>
                                <w:div w:id="1500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ur-lex.europa.eu/legal-content/EN/TXT/?uri=CELEX:32007L0002" TargetMode="External"/><Relationship Id="rId18" Type="http://schemas.openxmlformats.org/officeDocument/2006/relationships/hyperlink" Target="https://eur-lex.europa.eu/legal-content/EN/TXT/?uri=CELEX:32005R217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ur-lex.europa.eu/legal-content/EN/TXT/?uri=celex%3A32002L0049" TargetMode="External"/><Relationship Id="rId17" Type="http://schemas.openxmlformats.org/officeDocument/2006/relationships/hyperlink" Target="https://eur-lex.europa.eu/legal-content/EN/TXT/?uri=CELEX:32010R099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EN/TXT/?uri=celex%3A32010L0063" TargetMode="External"/><Relationship Id="rId20" Type="http://schemas.openxmlformats.org/officeDocument/2006/relationships/hyperlink" Target="https://eur-lex.europa.eu/legal-content/EN/TXT/?uri=LEGISSUM%3Al281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1986L0278" TargetMode="External"/><Relationship Id="rId24" Type="http://schemas.openxmlformats.org/officeDocument/2006/relationships/hyperlink" Target="https://insitu.copernicus.eu/ne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ALL/?uri=CELEX:32006R0166" TargetMode="External"/><Relationship Id="rId23" Type="http://schemas.openxmlformats.org/officeDocument/2006/relationships/hyperlink" Target="https://corda.eea.europa.eu/_layouts/15/CORDANews/CORDANews.aspx" TargetMode="External"/><Relationship Id="rId28" Type="http://schemas.openxmlformats.org/officeDocument/2006/relationships/footer" Target="footer2.xml"/><Relationship Id="rId10" Type="http://schemas.openxmlformats.org/officeDocument/2006/relationships/hyperlink" Target="http://ec.europa.eu/environment/legal/reporting/pdf/action_plan_env_issues.pdf" TargetMode="External"/><Relationship Id="rId19" Type="http://schemas.openxmlformats.org/officeDocument/2006/relationships/hyperlink" Target="https://eur-lex.europa.eu/legal-content/EN/ALL/?uri=CELEX%3A31997R03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nvironment/legal/reporting/pdf/1_EN_ACT_part1.pdf" TargetMode="External"/><Relationship Id="rId14" Type="http://schemas.openxmlformats.org/officeDocument/2006/relationships/hyperlink" Target="https://eur-lex.europa.eu/legal-content/EN/TXT/?uri=CELEX%3A32009L0147" TargetMode="External"/><Relationship Id="rId22" Type="http://schemas.openxmlformats.org/officeDocument/2006/relationships/hyperlink" Target="https://projects.eionet.europa.eu/reportnet-3.0-project-public"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spire.ec.europa.eu/countryfiche" TargetMode="External"/><Relationship Id="rId2" Type="http://schemas.openxmlformats.org/officeDocument/2006/relationships/hyperlink" Target="https://inspire-dashboard.eea.europa.eu/" TargetMode="External"/><Relationship Id="rId1" Type="http://schemas.openxmlformats.org/officeDocument/2006/relationships/hyperlink" Target="http://cdr.eionet.europa.eu/help/INSPIRE_ReportingGuidance2019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0D3C-A92E-4075-A2F2-DBB00E06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2019-06-14T10:58:00Z</dcterms:created>
  <dcterms:modified xsi:type="dcterms:W3CDTF">2019-06-20T06:27:00Z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evel of sensitivity">
    <vt:lpwstr>Standard treatment</vt:lpwstr>
  </property>
  <property fmtid="{D5CDD505-2E9C-101B-9397-08002B2CF9AE}" pid="4" name="Last edited using">
    <vt:lpwstr>LW 6.0.1, Build 20180503</vt:lpwstr>
  </property>
</Properties>
</file>