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A30CE4" w14:textId="77777777" w:rsidR="003436FE" w:rsidRPr="002B370E" w:rsidRDefault="003436FE">
      <w:pPr>
        <w:pStyle w:val="Subtitle"/>
        <w:spacing w:after="240"/>
      </w:pPr>
      <w:r>
        <w:t>REFERENCIA DE PUBLICACIÓN: &lt;</w:t>
      </w:r>
      <w:r>
        <w:rPr>
          <w:highlight w:val="yellow"/>
        </w:rPr>
        <w:t>insértese referencia</w:t>
      </w:r>
      <w:r>
        <w:t>&gt;</w:t>
      </w:r>
    </w:p>
    <w:p w14:paraId="77325E44" w14:textId="77777777" w:rsidR="003436FE" w:rsidRPr="002B370E" w:rsidRDefault="003436FE">
      <w:pPr>
        <w:pStyle w:val="Subtitle"/>
        <w:spacing w:after="240"/>
        <w:jc w:val="both"/>
        <w:rPr>
          <w:sz w:val="22"/>
          <w:szCs w:val="22"/>
        </w:rPr>
      </w:pPr>
      <w:r>
        <w:rPr>
          <w:sz w:val="22"/>
          <w:szCs w:val="22"/>
        </w:rPr>
        <w:t>Al presentar sus ofertas, los licitadores deben seguir todas las instrucciones, formularios, Pliego de Condiciones, disposiciones contractuales y especificaciones de este expediente de licitación. Se podrá rechazar toda oferta que no se presente con toda la información y documentación requeridas dentro del plazo especificado.</w:t>
      </w:r>
    </w:p>
    <w:p w14:paraId="625755EE" w14:textId="279C9DCB" w:rsidR="003436FE" w:rsidRPr="002B370E" w:rsidRDefault="003436FE">
      <w:pPr>
        <w:pStyle w:val="Subtitle"/>
        <w:spacing w:after="240"/>
        <w:jc w:val="both"/>
        <w:rPr>
          <w:sz w:val="22"/>
          <w:szCs w:val="22"/>
        </w:rPr>
      </w:pPr>
      <w:r>
        <w:rPr>
          <w:sz w:val="22"/>
          <w:szCs w:val="22"/>
        </w:rPr>
        <w:t xml:space="preserve">En las presentes instrucciones se establecen las normas para presentar y seleccionar ofertas. Se aplican a la presente licitación, de acuerdo con la Guía Práctica (puede consultarse en la siguiente dirección de internet: </w:t>
      </w:r>
      <w:hyperlink r:id="rId8" w:history="1">
        <w:r w:rsidR="006D2D00" w:rsidRPr="00A10CF4">
          <w:rPr>
            <w:rStyle w:val="Hyperlink"/>
            <w:sz w:val="22"/>
            <w:szCs w:val="22"/>
          </w:rPr>
          <w:t>https://wikis.ec.europa.eu/display/ExactExternalWikiES/ePRAG</w:t>
        </w:r>
      </w:hyperlink>
      <w:r>
        <w:rPr>
          <w:sz w:val="22"/>
          <w:szCs w:val="22"/>
        </w:rPr>
        <w:t xml:space="preserve">). </w:t>
      </w:r>
    </w:p>
    <w:p w14:paraId="4B8875C9" w14:textId="77777777" w:rsidR="003436FE" w:rsidRPr="002B370E" w:rsidRDefault="003436FE">
      <w:pPr>
        <w:pStyle w:val="Subtitle"/>
        <w:shd w:val="clear" w:color="auto" w:fill="FFFF00"/>
        <w:spacing w:after="240"/>
        <w:jc w:val="both"/>
        <w:rPr>
          <w:b w:val="0"/>
          <w:sz w:val="22"/>
          <w:szCs w:val="22"/>
        </w:rPr>
      </w:pPr>
      <w:r>
        <w:rPr>
          <w:sz w:val="22"/>
          <w:szCs w:val="22"/>
        </w:rPr>
        <w:t>Modo de cumplimentar las presentes instrucciones normalizadas para los licitadores.</w:t>
      </w:r>
      <w:r>
        <w:rPr>
          <w:i/>
          <w:sz w:val="22"/>
          <w:szCs w:val="22"/>
        </w:rPr>
        <w:t xml:space="preserve"> </w:t>
      </w:r>
      <w:r>
        <w:rPr>
          <w:sz w:val="22"/>
          <w:szCs w:val="22"/>
        </w:rPr>
        <w:t xml:space="preserve">Insértese </w:t>
      </w:r>
      <w:r>
        <w:rPr>
          <w:b w:val="0"/>
          <w:sz w:val="22"/>
          <w:szCs w:val="22"/>
        </w:rPr>
        <w:t xml:space="preserve">entre los signos &lt;&gt; </w:t>
      </w:r>
      <w:r>
        <w:rPr>
          <w:bCs/>
          <w:sz w:val="22"/>
          <w:szCs w:val="22"/>
        </w:rPr>
        <w:t>la información</w:t>
      </w:r>
      <w:r>
        <w:rPr>
          <w:b w:val="0"/>
          <w:sz w:val="22"/>
          <w:szCs w:val="22"/>
        </w:rPr>
        <w:t xml:space="preserve"> indicada para cada procedimiento de licitación. Los corchetes </w:t>
      </w:r>
      <w:proofErr w:type="gramStart"/>
      <w:r>
        <w:rPr>
          <w:b w:val="0"/>
          <w:sz w:val="22"/>
          <w:szCs w:val="22"/>
        </w:rPr>
        <w:t>[ ]</w:t>
      </w:r>
      <w:proofErr w:type="gramEnd"/>
      <w:r>
        <w:rPr>
          <w:b w:val="0"/>
          <w:sz w:val="22"/>
          <w:szCs w:val="22"/>
        </w:rPr>
        <w:t xml:space="preserve"> y las partes sombreadas en gris indican opciones a elegir y deben incluirse cuando proceda, pero solo deben modificarse en casos excepcionales, atendiendo a los requisitos de una licitación específica. </w:t>
      </w:r>
      <w:r>
        <w:rPr>
          <w:sz w:val="22"/>
          <w:szCs w:val="22"/>
        </w:rPr>
        <w:t>Todas las demás partes de estas instrucciones normalizadas no deberán modificarse.</w:t>
      </w:r>
      <w:r>
        <w:rPr>
          <w:b w:val="0"/>
          <w:sz w:val="22"/>
          <w:szCs w:val="22"/>
        </w:rPr>
        <w:t xml:space="preserve"> En la versión definitiva de las instrucciones para los licitadores, no olvide borrar este párrafo y cualquier otro texto sombreado en amarillo, ni suprimir todos los corchetes.</w:t>
      </w:r>
    </w:p>
    <w:p w14:paraId="4D1B7031" w14:textId="77777777" w:rsidR="003436FE" w:rsidRPr="002B370E" w:rsidRDefault="003436FE" w:rsidP="003436FE">
      <w:pPr>
        <w:keepNext/>
        <w:numPr>
          <w:ilvl w:val="0"/>
          <w:numId w:val="26"/>
        </w:numPr>
        <w:spacing w:before="120" w:after="120"/>
        <w:jc w:val="both"/>
        <w:rPr>
          <w:b/>
          <w:sz w:val="24"/>
          <w:szCs w:val="24"/>
        </w:rPr>
      </w:pPr>
      <w:r>
        <w:rPr>
          <w:b/>
          <w:sz w:val="24"/>
          <w:szCs w:val="24"/>
        </w:rPr>
        <w:t>Servicios requeridos</w:t>
      </w:r>
    </w:p>
    <w:p w14:paraId="30ABEF47" w14:textId="77777777" w:rsidR="003436FE" w:rsidRPr="002B370E" w:rsidRDefault="003436FE">
      <w:pPr>
        <w:spacing w:after="120"/>
        <w:jc w:val="both"/>
        <w:rPr>
          <w:sz w:val="22"/>
          <w:szCs w:val="22"/>
        </w:rPr>
      </w:pPr>
      <w:r>
        <w:rPr>
          <w:sz w:val="22"/>
          <w:szCs w:val="22"/>
        </w:rPr>
        <w:t>Los servicios requeridos por el Órgano de Contratación se describen en el Pliego de Condiciones. Se indican en el anexo II del proyecto de contrato (parte B del presente expediente de licitación).</w:t>
      </w:r>
    </w:p>
    <w:p w14:paraId="4F074AB6" w14:textId="77777777" w:rsidR="003436FE" w:rsidRPr="002B370E" w:rsidRDefault="003436FE" w:rsidP="003436FE">
      <w:pPr>
        <w:keepNext/>
        <w:numPr>
          <w:ilvl w:val="0"/>
          <w:numId w:val="26"/>
        </w:numPr>
        <w:spacing w:before="120" w:after="120"/>
        <w:jc w:val="both"/>
        <w:rPr>
          <w:b/>
          <w:sz w:val="24"/>
          <w:szCs w:val="24"/>
        </w:rPr>
      </w:pPr>
      <w:bookmarkStart w:id="0" w:name="_Ref499723935"/>
      <w:r>
        <w:rPr>
          <w:b/>
          <w:sz w:val="24"/>
          <w:szCs w:val="24"/>
        </w:rPr>
        <w:t>Calendario</w:t>
      </w:r>
      <w:bookmarkEnd w:id="0"/>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1984"/>
        <w:gridCol w:w="2127"/>
      </w:tblGrid>
      <w:tr w:rsidR="003436FE" w:rsidRPr="002B370E" w14:paraId="205BDACF" w14:textId="77777777" w:rsidTr="001D7DF6">
        <w:tc>
          <w:tcPr>
            <w:tcW w:w="4253" w:type="dxa"/>
            <w:tcBorders>
              <w:bottom w:val="nil"/>
            </w:tcBorders>
          </w:tcPr>
          <w:p w14:paraId="65CA12BD" w14:textId="77777777" w:rsidR="003436FE" w:rsidRPr="002B370E" w:rsidRDefault="003436FE">
            <w:pPr>
              <w:rPr>
                <w:sz w:val="22"/>
                <w:szCs w:val="22"/>
              </w:rPr>
            </w:pPr>
          </w:p>
        </w:tc>
        <w:tc>
          <w:tcPr>
            <w:tcW w:w="1984" w:type="dxa"/>
            <w:shd w:val="pct10" w:color="auto" w:fill="FFFFFF"/>
          </w:tcPr>
          <w:p w14:paraId="143DC8B6" w14:textId="77777777" w:rsidR="003436FE" w:rsidRPr="002B370E" w:rsidRDefault="003436FE">
            <w:pPr>
              <w:jc w:val="center"/>
              <w:rPr>
                <w:b/>
                <w:sz w:val="22"/>
                <w:szCs w:val="22"/>
              </w:rPr>
            </w:pPr>
            <w:r>
              <w:rPr>
                <w:b/>
                <w:sz w:val="22"/>
                <w:szCs w:val="22"/>
              </w:rPr>
              <w:t>FECHA</w:t>
            </w:r>
          </w:p>
        </w:tc>
        <w:tc>
          <w:tcPr>
            <w:tcW w:w="2127" w:type="dxa"/>
            <w:tcBorders>
              <w:bottom w:val="nil"/>
            </w:tcBorders>
            <w:shd w:val="pct10" w:color="auto" w:fill="FFFFFF"/>
          </w:tcPr>
          <w:p w14:paraId="21499EBF" w14:textId="24A025BD" w:rsidR="003436FE" w:rsidRPr="002B370E" w:rsidRDefault="003436FE">
            <w:pPr>
              <w:jc w:val="center"/>
              <w:rPr>
                <w:b/>
                <w:sz w:val="22"/>
                <w:szCs w:val="22"/>
              </w:rPr>
            </w:pPr>
            <w:r>
              <w:rPr>
                <w:b/>
                <w:sz w:val="22"/>
                <w:szCs w:val="22"/>
              </w:rPr>
              <w:t>HORA</w:t>
            </w:r>
          </w:p>
        </w:tc>
      </w:tr>
      <w:tr w:rsidR="003436FE" w:rsidRPr="002B370E" w14:paraId="6F5A0004" w14:textId="77777777" w:rsidTr="001D7DF6">
        <w:tc>
          <w:tcPr>
            <w:tcW w:w="4253" w:type="dxa"/>
            <w:shd w:val="pct10" w:color="auto" w:fill="FFFFFF"/>
          </w:tcPr>
          <w:p w14:paraId="7EE5ED5E" w14:textId="77777777" w:rsidR="003436FE" w:rsidRPr="002B370E" w:rsidRDefault="003436FE" w:rsidP="003436FE">
            <w:pPr>
              <w:spacing w:before="120" w:after="120"/>
              <w:rPr>
                <w:b/>
                <w:sz w:val="22"/>
                <w:szCs w:val="22"/>
              </w:rPr>
            </w:pPr>
            <w:r>
              <w:rPr>
                <w:b/>
                <w:sz w:val="22"/>
                <w:szCs w:val="22"/>
              </w:rPr>
              <w:t>Visita sobre el terreno (si procede)</w:t>
            </w:r>
          </w:p>
        </w:tc>
        <w:tc>
          <w:tcPr>
            <w:tcW w:w="1984" w:type="dxa"/>
          </w:tcPr>
          <w:p w14:paraId="55D03BDD" w14:textId="77777777" w:rsidR="003436FE" w:rsidRPr="002B370E" w:rsidRDefault="009D25DC" w:rsidP="003436FE">
            <w:pPr>
              <w:spacing w:before="120" w:after="120"/>
              <w:jc w:val="center"/>
              <w:rPr>
                <w:sz w:val="22"/>
                <w:szCs w:val="22"/>
              </w:rPr>
            </w:pPr>
            <w:r>
              <w:rPr>
                <w:sz w:val="22"/>
                <w:szCs w:val="22"/>
              </w:rPr>
              <w:t>[&lt;</w:t>
            </w:r>
            <w:r>
              <w:rPr>
                <w:sz w:val="22"/>
                <w:szCs w:val="22"/>
                <w:highlight w:val="yellow"/>
              </w:rPr>
              <w:t>Fecha</w:t>
            </w:r>
            <w:r>
              <w:rPr>
                <w:sz w:val="22"/>
                <w:szCs w:val="22"/>
              </w:rPr>
              <w:t>&gt;] [</w:t>
            </w:r>
            <w:r>
              <w:rPr>
                <w:sz w:val="22"/>
                <w:szCs w:val="22"/>
                <w:highlight w:val="lightGray"/>
              </w:rPr>
              <w:t>No procede</w:t>
            </w:r>
            <w:r>
              <w:rPr>
                <w:sz w:val="22"/>
                <w:szCs w:val="22"/>
              </w:rPr>
              <w:t>]</w:t>
            </w:r>
          </w:p>
        </w:tc>
        <w:tc>
          <w:tcPr>
            <w:tcW w:w="2127" w:type="dxa"/>
          </w:tcPr>
          <w:p w14:paraId="30956BEC" w14:textId="3FF03D0D" w:rsidR="003436FE" w:rsidRPr="002B370E" w:rsidRDefault="009D25DC" w:rsidP="003436FE">
            <w:pPr>
              <w:spacing w:before="120" w:after="120"/>
              <w:jc w:val="center"/>
              <w:rPr>
                <w:sz w:val="22"/>
                <w:szCs w:val="22"/>
              </w:rPr>
            </w:pPr>
            <w:r>
              <w:rPr>
                <w:sz w:val="22"/>
                <w:szCs w:val="22"/>
              </w:rPr>
              <w:t>[&lt;</w:t>
            </w:r>
            <w:r>
              <w:rPr>
                <w:sz w:val="22"/>
                <w:szCs w:val="22"/>
                <w:highlight w:val="yellow"/>
              </w:rPr>
              <w:t>Hora</w:t>
            </w:r>
            <w:r>
              <w:rPr>
                <w:sz w:val="22"/>
                <w:szCs w:val="22"/>
              </w:rPr>
              <w:t>&gt; (</w:t>
            </w:r>
            <w:r>
              <w:rPr>
                <w:sz w:val="22"/>
                <w:szCs w:val="22"/>
                <w:highlight w:val="lightGray"/>
              </w:rPr>
              <w:t>zona horaria de la ubicación del emplazamiento</w:t>
            </w:r>
            <w:r>
              <w:rPr>
                <w:sz w:val="22"/>
                <w:szCs w:val="22"/>
              </w:rPr>
              <w:t>)] [</w:t>
            </w:r>
            <w:r>
              <w:rPr>
                <w:sz w:val="22"/>
                <w:szCs w:val="22"/>
                <w:highlight w:val="lightGray"/>
              </w:rPr>
              <w:t>No procede</w:t>
            </w:r>
            <w:r>
              <w:rPr>
                <w:sz w:val="22"/>
                <w:szCs w:val="22"/>
              </w:rPr>
              <w:t>]</w:t>
            </w:r>
          </w:p>
        </w:tc>
      </w:tr>
      <w:tr w:rsidR="003436FE" w:rsidRPr="002B370E" w14:paraId="4EFF1188" w14:textId="77777777" w:rsidTr="001D7DF6">
        <w:tc>
          <w:tcPr>
            <w:tcW w:w="4253" w:type="dxa"/>
            <w:shd w:val="pct10" w:color="auto" w:fill="FFFFFF"/>
          </w:tcPr>
          <w:p w14:paraId="6ABF9E00" w14:textId="77777777" w:rsidR="003436FE" w:rsidRPr="002B370E" w:rsidRDefault="003436FE" w:rsidP="003436FE">
            <w:pPr>
              <w:spacing w:before="120" w:after="120"/>
              <w:rPr>
                <w:b/>
                <w:sz w:val="22"/>
                <w:szCs w:val="22"/>
              </w:rPr>
            </w:pPr>
            <w:r>
              <w:rPr>
                <w:b/>
                <w:sz w:val="22"/>
                <w:szCs w:val="22"/>
              </w:rPr>
              <w:t>Reunión informativa (en su caso)</w:t>
            </w:r>
          </w:p>
        </w:tc>
        <w:tc>
          <w:tcPr>
            <w:tcW w:w="1984" w:type="dxa"/>
          </w:tcPr>
          <w:p w14:paraId="541D4C47" w14:textId="77777777" w:rsidR="003436FE" w:rsidRPr="002B370E" w:rsidRDefault="009D25DC" w:rsidP="009D25DC">
            <w:pPr>
              <w:spacing w:before="120" w:after="120"/>
              <w:jc w:val="center"/>
              <w:rPr>
                <w:sz w:val="22"/>
                <w:szCs w:val="22"/>
              </w:rPr>
            </w:pPr>
            <w:r>
              <w:rPr>
                <w:sz w:val="22"/>
                <w:szCs w:val="22"/>
              </w:rPr>
              <w:t>[&lt;</w:t>
            </w:r>
            <w:r>
              <w:rPr>
                <w:sz w:val="22"/>
                <w:szCs w:val="22"/>
                <w:highlight w:val="yellow"/>
              </w:rPr>
              <w:t>Fecha</w:t>
            </w:r>
            <w:r>
              <w:rPr>
                <w:sz w:val="22"/>
                <w:szCs w:val="22"/>
              </w:rPr>
              <w:t>&gt;] [</w:t>
            </w:r>
            <w:r>
              <w:rPr>
                <w:sz w:val="22"/>
                <w:szCs w:val="22"/>
                <w:highlight w:val="lightGray"/>
              </w:rPr>
              <w:t>No procede</w:t>
            </w:r>
            <w:r>
              <w:rPr>
                <w:sz w:val="22"/>
                <w:szCs w:val="22"/>
              </w:rPr>
              <w:t>]</w:t>
            </w:r>
          </w:p>
        </w:tc>
        <w:tc>
          <w:tcPr>
            <w:tcW w:w="2127" w:type="dxa"/>
          </w:tcPr>
          <w:p w14:paraId="03041750" w14:textId="30E64CA5" w:rsidR="003436FE" w:rsidRPr="002B370E" w:rsidRDefault="009D25DC" w:rsidP="009D25DC">
            <w:pPr>
              <w:spacing w:before="120" w:after="120"/>
              <w:jc w:val="center"/>
              <w:rPr>
                <w:sz w:val="22"/>
                <w:szCs w:val="22"/>
              </w:rPr>
            </w:pPr>
            <w:r>
              <w:rPr>
                <w:sz w:val="22"/>
                <w:szCs w:val="22"/>
              </w:rPr>
              <w:t>[&lt;</w:t>
            </w:r>
            <w:r>
              <w:rPr>
                <w:sz w:val="22"/>
                <w:szCs w:val="22"/>
                <w:highlight w:val="yellow"/>
              </w:rPr>
              <w:t>Hora</w:t>
            </w:r>
            <w:r>
              <w:rPr>
                <w:sz w:val="22"/>
                <w:szCs w:val="22"/>
              </w:rPr>
              <w:t>&gt; (</w:t>
            </w:r>
            <w:r>
              <w:rPr>
                <w:sz w:val="22"/>
                <w:szCs w:val="22"/>
                <w:highlight w:val="lightGray"/>
              </w:rPr>
              <w:t>zona horaria del lugar de la reunión</w:t>
            </w:r>
            <w:r>
              <w:rPr>
                <w:sz w:val="22"/>
                <w:szCs w:val="22"/>
              </w:rPr>
              <w:t>)] [</w:t>
            </w:r>
            <w:r>
              <w:rPr>
                <w:sz w:val="22"/>
                <w:szCs w:val="22"/>
                <w:highlight w:val="lightGray"/>
              </w:rPr>
              <w:t>No procede</w:t>
            </w:r>
            <w:r>
              <w:rPr>
                <w:sz w:val="22"/>
                <w:szCs w:val="22"/>
              </w:rPr>
              <w:t>]</w:t>
            </w:r>
          </w:p>
        </w:tc>
      </w:tr>
      <w:tr w:rsidR="003436FE" w:rsidRPr="002B370E" w14:paraId="33404C0E" w14:textId="77777777" w:rsidTr="001D7DF6">
        <w:tc>
          <w:tcPr>
            <w:tcW w:w="4253" w:type="dxa"/>
            <w:shd w:val="pct10" w:color="auto" w:fill="FFFFFF"/>
          </w:tcPr>
          <w:p w14:paraId="2A507476" w14:textId="77777777" w:rsidR="003436FE" w:rsidRPr="002B370E" w:rsidRDefault="003436FE">
            <w:pPr>
              <w:spacing w:before="120" w:after="120"/>
              <w:rPr>
                <w:b/>
                <w:sz w:val="22"/>
                <w:szCs w:val="22"/>
              </w:rPr>
            </w:pPr>
            <w:r>
              <w:rPr>
                <w:b/>
                <w:sz w:val="22"/>
                <w:szCs w:val="22"/>
              </w:rPr>
              <w:t>Plazo para la petición de aclaraciones al Órgano de Contratación</w:t>
            </w:r>
          </w:p>
        </w:tc>
        <w:tc>
          <w:tcPr>
            <w:tcW w:w="1984" w:type="dxa"/>
          </w:tcPr>
          <w:p w14:paraId="423AF266" w14:textId="700CF34A" w:rsidR="003436FE" w:rsidRPr="002B370E" w:rsidRDefault="003436FE" w:rsidP="00694A32">
            <w:pPr>
              <w:spacing w:before="120" w:after="120"/>
              <w:jc w:val="center"/>
              <w:rPr>
                <w:sz w:val="22"/>
                <w:szCs w:val="22"/>
              </w:rPr>
            </w:pPr>
            <w:r>
              <w:rPr>
                <w:sz w:val="22"/>
                <w:szCs w:val="22"/>
              </w:rPr>
              <w:t xml:space="preserve">&lt; </w:t>
            </w:r>
            <w:r>
              <w:rPr>
                <w:sz w:val="22"/>
                <w:szCs w:val="22"/>
                <w:highlight w:val="yellow"/>
              </w:rPr>
              <w:t>21 días antes de que finalice el plazo de presentación de las ofertas</w:t>
            </w:r>
            <w:r>
              <w:rPr>
                <w:sz w:val="22"/>
                <w:szCs w:val="22"/>
              </w:rPr>
              <w:t xml:space="preserve"> &gt;]</w:t>
            </w:r>
          </w:p>
        </w:tc>
        <w:tc>
          <w:tcPr>
            <w:tcW w:w="2127" w:type="dxa"/>
          </w:tcPr>
          <w:p w14:paraId="6A720540" w14:textId="07F13DA4" w:rsidR="003436FE" w:rsidRPr="002B370E" w:rsidRDefault="003436FE">
            <w:pPr>
              <w:spacing w:before="120" w:after="120"/>
              <w:jc w:val="center"/>
              <w:rPr>
                <w:sz w:val="22"/>
                <w:szCs w:val="22"/>
              </w:rPr>
            </w:pPr>
            <w:r>
              <w:rPr>
                <w:sz w:val="22"/>
                <w:szCs w:val="22"/>
              </w:rPr>
              <w:t xml:space="preserve">&lt; </w:t>
            </w:r>
            <w:r>
              <w:rPr>
                <w:sz w:val="22"/>
                <w:szCs w:val="22"/>
                <w:highlight w:val="yellow"/>
              </w:rPr>
              <w:t>Hora</w:t>
            </w:r>
            <w:r>
              <w:rPr>
                <w:sz w:val="22"/>
                <w:szCs w:val="22"/>
              </w:rPr>
              <w:t xml:space="preserve"> &gt;*</w:t>
            </w:r>
          </w:p>
        </w:tc>
      </w:tr>
      <w:tr w:rsidR="003436FE" w:rsidRPr="002B370E" w14:paraId="1C3F8911" w14:textId="77777777" w:rsidTr="001D7DF6">
        <w:tc>
          <w:tcPr>
            <w:tcW w:w="4253" w:type="dxa"/>
            <w:shd w:val="pct10" w:color="auto" w:fill="FFFFFF"/>
          </w:tcPr>
          <w:p w14:paraId="44B28CD4" w14:textId="77777777" w:rsidR="003436FE" w:rsidRPr="002B370E" w:rsidRDefault="003436FE">
            <w:pPr>
              <w:spacing w:before="120" w:after="120"/>
              <w:rPr>
                <w:b/>
                <w:sz w:val="22"/>
                <w:szCs w:val="22"/>
              </w:rPr>
            </w:pPr>
            <w:r>
              <w:rPr>
                <w:b/>
                <w:sz w:val="22"/>
                <w:szCs w:val="22"/>
              </w:rPr>
              <w:t xml:space="preserve">Última fecha para que el Órgano de Contratación realice las aclaraciones </w:t>
            </w:r>
          </w:p>
        </w:tc>
        <w:tc>
          <w:tcPr>
            <w:tcW w:w="1984" w:type="dxa"/>
          </w:tcPr>
          <w:p w14:paraId="6024CADA" w14:textId="684157E0" w:rsidR="003436FE" w:rsidRPr="002B370E" w:rsidRDefault="003436FE" w:rsidP="00442485">
            <w:pPr>
              <w:spacing w:before="120" w:after="120"/>
              <w:rPr>
                <w:sz w:val="22"/>
                <w:szCs w:val="22"/>
              </w:rPr>
            </w:pPr>
            <w:r>
              <w:rPr>
                <w:sz w:val="22"/>
                <w:szCs w:val="22"/>
              </w:rPr>
              <w:t xml:space="preserve">&lt; </w:t>
            </w:r>
            <w:r>
              <w:rPr>
                <w:sz w:val="22"/>
                <w:szCs w:val="22"/>
                <w:highlight w:val="yellow"/>
              </w:rPr>
              <w:t>8 días antes de que finalice el plazo de presentación de las ofertas</w:t>
            </w:r>
            <w:r>
              <w:rPr>
                <w:sz w:val="22"/>
                <w:szCs w:val="22"/>
              </w:rPr>
              <w:t xml:space="preserve"> &gt;]</w:t>
            </w:r>
          </w:p>
        </w:tc>
        <w:tc>
          <w:tcPr>
            <w:tcW w:w="2127" w:type="dxa"/>
          </w:tcPr>
          <w:p w14:paraId="7E870108" w14:textId="77777777" w:rsidR="003436FE" w:rsidRPr="002B370E" w:rsidRDefault="003436FE">
            <w:pPr>
              <w:spacing w:before="120" w:after="120"/>
              <w:jc w:val="center"/>
              <w:rPr>
                <w:sz w:val="22"/>
                <w:szCs w:val="22"/>
              </w:rPr>
            </w:pPr>
            <w:r>
              <w:rPr>
                <w:sz w:val="22"/>
                <w:szCs w:val="22"/>
              </w:rPr>
              <w:t>-</w:t>
            </w:r>
          </w:p>
        </w:tc>
      </w:tr>
      <w:tr w:rsidR="003436FE" w:rsidRPr="002B370E" w14:paraId="08F17514" w14:textId="77777777" w:rsidTr="001D7DF6">
        <w:tc>
          <w:tcPr>
            <w:tcW w:w="4253" w:type="dxa"/>
            <w:shd w:val="pct10" w:color="auto" w:fill="FFFFFF"/>
          </w:tcPr>
          <w:p w14:paraId="4C7A2013" w14:textId="77777777" w:rsidR="003436FE" w:rsidRPr="002B370E" w:rsidRDefault="003436FE">
            <w:pPr>
              <w:spacing w:before="120" w:after="120"/>
              <w:rPr>
                <w:b/>
                <w:sz w:val="22"/>
                <w:szCs w:val="22"/>
              </w:rPr>
            </w:pPr>
            <w:r>
              <w:rPr>
                <w:b/>
                <w:sz w:val="22"/>
                <w:szCs w:val="22"/>
              </w:rPr>
              <w:t>Plazo de presentación de las ofertas</w:t>
            </w:r>
          </w:p>
        </w:tc>
        <w:tc>
          <w:tcPr>
            <w:tcW w:w="1984" w:type="dxa"/>
          </w:tcPr>
          <w:p w14:paraId="042D5D03" w14:textId="77777777" w:rsidR="003436FE" w:rsidRPr="002B370E" w:rsidRDefault="003436FE">
            <w:pPr>
              <w:spacing w:before="120" w:after="120"/>
              <w:jc w:val="center"/>
              <w:rPr>
                <w:sz w:val="22"/>
                <w:szCs w:val="22"/>
              </w:rPr>
            </w:pPr>
            <w:r>
              <w:rPr>
                <w:sz w:val="22"/>
                <w:szCs w:val="22"/>
              </w:rPr>
              <w:t xml:space="preserve">&lt; </w:t>
            </w:r>
            <w:r>
              <w:rPr>
                <w:sz w:val="22"/>
                <w:szCs w:val="22"/>
                <w:highlight w:val="yellow"/>
              </w:rPr>
              <w:t>Fecha</w:t>
            </w:r>
            <w:r>
              <w:rPr>
                <w:sz w:val="22"/>
                <w:szCs w:val="22"/>
              </w:rPr>
              <w:t xml:space="preserve"> &gt;</w:t>
            </w:r>
          </w:p>
        </w:tc>
        <w:tc>
          <w:tcPr>
            <w:tcW w:w="2127" w:type="dxa"/>
          </w:tcPr>
          <w:p w14:paraId="5B55E2FA" w14:textId="299AEA86" w:rsidR="003436FE" w:rsidRPr="002B370E" w:rsidRDefault="003436FE">
            <w:pPr>
              <w:spacing w:before="120" w:after="120"/>
              <w:jc w:val="center"/>
              <w:rPr>
                <w:sz w:val="22"/>
                <w:szCs w:val="22"/>
              </w:rPr>
            </w:pPr>
            <w:r>
              <w:rPr>
                <w:sz w:val="22"/>
                <w:szCs w:val="22"/>
              </w:rPr>
              <w:t xml:space="preserve">&lt; </w:t>
            </w:r>
            <w:r>
              <w:rPr>
                <w:sz w:val="22"/>
                <w:szCs w:val="22"/>
                <w:highlight w:val="yellow"/>
              </w:rPr>
              <w:t>Hora</w:t>
            </w:r>
            <w:r>
              <w:rPr>
                <w:sz w:val="22"/>
                <w:szCs w:val="22"/>
              </w:rPr>
              <w:t xml:space="preserve"> &gt;*</w:t>
            </w:r>
          </w:p>
        </w:tc>
      </w:tr>
      <w:tr w:rsidR="003436FE" w:rsidRPr="002B370E" w14:paraId="2A4B51F6" w14:textId="77777777" w:rsidTr="001D7DF6">
        <w:tc>
          <w:tcPr>
            <w:tcW w:w="4253" w:type="dxa"/>
            <w:shd w:val="pct10" w:color="auto" w:fill="FFFFFF"/>
          </w:tcPr>
          <w:p w14:paraId="32253517" w14:textId="77777777" w:rsidR="003436FE" w:rsidRPr="002B370E" w:rsidRDefault="003436FE" w:rsidP="003436FE">
            <w:pPr>
              <w:spacing w:before="120" w:after="120"/>
              <w:rPr>
                <w:b/>
                <w:sz w:val="22"/>
                <w:szCs w:val="22"/>
              </w:rPr>
            </w:pPr>
            <w:r>
              <w:rPr>
                <w:b/>
                <w:sz w:val="22"/>
                <w:szCs w:val="22"/>
              </w:rPr>
              <w:lastRenderedPageBreak/>
              <w:t>Entrevistas (si procede)</w:t>
            </w:r>
          </w:p>
        </w:tc>
        <w:tc>
          <w:tcPr>
            <w:tcW w:w="1984" w:type="dxa"/>
          </w:tcPr>
          <w:p w14:paraId="58728F5E" w14:textId="77777777" w:rsidR="003436FE" w:rsidRPr="002B370E" w:rsidRDefault="009D25DC" w:rsidP="003436FE">
            <w:pPr>
              <w:spacing w:before="120" w:after="120"/>
              <w:jc w:val="center"/>
              <w:rPr>
                <w:sz w:val="22"/>
                <w:szCs w:val="22"/>
              </w:rPr>
            </w:pPr>
            <w:r>
              <w:rPr>
                <w:sz w:val="22"/>
                <w:szCs w:val="22"/>
              </w:rPr>
              <w:t xml:space="preserve">[&lt; </w:t>
            </w:r>
            <w:r>
              <w:rPr>
                <w:sz w:val="22"/>
                <w:szCs w:val="22"/>
                <w:highlight w:val="yellow"/>
              </w:rPr>
              <w:t>Fecha</w:t>
            </w:r>
            <w:r>
              <w:rPr>
                <w:sz w:val="22"/>
                <w:szCs w:val="22"/>
              </w:rPr>
              <w:t>&gt;] [</w:t>
            </w:r>
            <w:r>
              <w:rPr>
                <w:sz w:val="22"/>
                <w:szCs w:val="22"/>
                <w:highlight w:val="lightGray"/>
              </w:rPr>
              <w:t>No procede</w:t>
            </w:r>
            <w:r>
              <w:rPr>
                <w:sz w:val="22"/>
                <w:szCs w:val="22"/>
              </w:rPr>
              <w:t xml:space="preserve">] </w:t>
            </w:r>
            <w:r>
              <w:rPr>
                <w:sz w:val="22"/>
                <w:szCs w:val="22"/>
                <w:vertAlign w:val="superscript"/>
              </w:rPr>
              <w:sym w:font="Monotype Sorts" w:char="F027"/>
            </w:r>
          </w:p>
        </w:tc>
        <w:tc>
          <w:tcPr>
            <w:tcW w:w="2127" w:type="dxa"/>
          </w:tcPr>
          <w:p w14:paraId="3DF2E516" w14:textId="77777777" w:rsidR="003436FE" w:rsidRPr="002B370E" w:rsidRDefault="003436FE" w:rsidP="003436FE">
            <w:pPr>
              <w:spacing w:before="120" w:after="120"/>
              <w:jc w:val="center"/>
              <w:rPr>
                <w:sz w:val="22"/>
                <w:szCs w:val="22"/>
              </w:rPr>
            </w:pPr>
            <w:r>
              <w:rPr>
                <w:sz w:val="22"/>
                <w:szCs w:val="22"/>
              </w:rPr>
              <w:t>-</w:t>
            </w:r>
          </w:p>
        </w:tc>
      </w:tr>
      <w:tr w:rsidR="003436FE" w:rsidRPr="002B370E" w14:paraId="060F369D" w14:textId="77777777" w:rsidTr="001D7DF6">
        <w:tc>
          <w:tcPr>
            <w:tcW w:w="4253" w:type="dxa"/>
            <w:shd w:val="pct10" w:color="auto" w:fill="FFFFFF"/>
          </w:tcPr>
          <w:p w14:paraId="26942375" w14:textId="77777777" w:rsidR="003436FE" w:rsidRPr="002B370E" w:rsidRDefault="003436FE">
            <w:pPr>
              <w:spacing w:before="120" w:after="120"/>
              <w:rPr>
                <w:b/>
                <w:sz w:val="22"/>
                <w:szCs w:val="22"/>
              </w:rPr>
            </w:pPr>
            <w:r>
              <w:rPr>
                <w:b/>
                <w:sz w:val="22"/>
                <w:szCs w:val="22"/>
              </w:rPr>
              <w:t>Fecha de finalización de la evaluación de las ofertas técnicas</w:t>
            </w:r>
          </w:p>
        </w:tc>
        <w:tc>
          <w:tcPr>
            <w:tcW w:w="1984" w:type="dxa"/>
          </w:tcPr>
          <w:p w14:paraId="1C211839" w14:textId="77777777" w:rsidR="003436FE" w:rsidRPr="002B370E" w:rsidRDefault="003436FE">
            <w:pPr>
              <w:spacing w:before="120" w:after="120"/>
              <w:jc w:val="center"/>
              <w:rPr>
                <w:sz w:val="22"/>
                <w:szCs w:val="22"/>
              </w:rPr>
            </w:pPr>
            <w:r>
              <w:rPr>
                <w:sz w:val="22"/>
                <w:szCs w:val="22"/>
              </w:rPr>
              <w:t xml:space="preserve">&lt; </w:t>
            </w:r>
            <w:r>
              <w:rPr>
                <w:sz w:val="22"/>
                <w:szCs w:val="22"/>
                <w:highlight w:val="yellow"/>
              </w:rPr>
              <w:t>Fecha</w:t>
            </w:r>
            <w:r>
              <w:rPr>
                <w:sz w:val="22"/>
                <w:szCs w:val="22"/>
              </w:rPr>
              <w:t xml:space="preserve"> &gt; </w:t>
            </w:r>
            <w:r>
              <w:rPr>
                <w:sz w:val="22"/>
                <w:szCs w:val="22"/>
                <w:vertAlign w:val="superscript"/>
              </w:rPr>
              <w:sym w:font="Monotype Sorts" w:char="F027"/>
            </w:r>
          </w:p>
        </w:tc>
        <w:tc>
          <w:tcPr>
            <w:tcW w:w="2127" w:type="dxa"/>
          </w:tcPr>
          <w:p w14:paraId="3CAAF895" w14:textId="77777777" w:rsidR="003436FE" w:rsidRPr="002B370E" w:rsidRDefault="003436FE">
            <w:pPr>
              <w:spacing w:before="120" w:after="120"/>
              <w:jc w:val="center"/>
              <w:rPr>
                <w:sz w:val="22"/>
                <w:szCs w:val="22"/>
              </w:rPr>
            </w:pPr>
            <w:r>
              <w:rPr>
                <w:sz w:val="22"/>
                <w:szCs w:val="22"/>
              </w:rPr>
              <w:t>-</w:t>
            </w:r>
          </w:p>
        </w:tc>
      </w:tr>
      <w:tr w:rsidR="003436FE" w:rsidRPr="002B370E" w14:paraId="6426BF85" w14:textId="77777777" w:rsidTr="001D7DF6">
        <w:tc>
          <w:tcPr>
            <w:tcW w:w="4253" w:type="dxa"/>
            <w:shd w:val="pct10" w:color="auto" w:fill="FFFFFF"/>
          </w:tcPr>
          <w:p w14:paraId="10AEC748" w14:textId="77777777" w:rsidR="003436FE" w:rsidRPr="002B370E" w:rsidRDefault="003436FE">
            <w:pPr>
              <w:spacing w:before="120" w:after="120"/>
              <w:rPr>
                <w:b/>
                <w:sz w:val="22"/>
                <w:szCs w:val="22"/>
              </w:rPr>
            </w:pPr>
            <w:r>
              <w:rPr>
                <w:b/>
                <w:sz w:val="22"/>
                <w:szCs w:val="22"/>
              </w:rPr>
              <w:t xml:space="preserve">Notificación de la adjudicación </w:t>
            </w:r>
          </w:p>
        </w:tc>
        <w:tc>
          <w:tcPr>
            <w:tcW w:w="1984" w:type="dxa"/>
          </w:tcPr>
          <w:p w14:paraId="1C1FC902" w14:textId="77777777" w:rsidR="003436FE" w:rsidRPr="002B370E" w:rsidRDefault="003436FE">
            <w:pPr>
              <w:spacing w:before="120" w:after="120"/>
              <w:jc w:val="center"/>
              <w:rPr>
                <w:sz w:val="22"/>
                <w:szCs w:val="22"/>
              </w:rPr>
            </w:pPr>
            <w:r>
              <w:rPr>
                <w:sz w:val="22"/>
                <w:szCs w:val="22"/>
              </w:rPr>
              <w:t xml:space="preserve">&lt; </w:t>
            </w:r>
            <w:r>
              <w:rPr>
                <w:sz w:val="22"/>
                <w:szCs w:val="22"/>
                <w:highlight w:val="yellow"/>
              </w:rPr>
              <w:t>Fecha: como máximo 90 días después de que finalice el plazo de presentación de las ofertas</w:t>
            </w:r>
            <w:r>
              <w:rPr>
                <w:sz w:val="22"/>
                <w:szCs w:val="22"/>
              </w:rPr>
              <w:t xml:space="preserve"> &gt; </w:t>
            </w:r>
            <w:r>
              <w:rPr>
                <w:sz w:val="22"/>
                <w:szCs w:val="22"/>
                <w:vertAlign w:val="superscript"/>
              </w:rPr>
              <w:sym w:font="Monotype Sorts" w:char="F027"/>
            </w:r>
          </w:p>
        </w:tc>
        <w:tc>
          <w:tcPr>
            <w:tcW w:w="2127" w:type="dxa"/>
          </w:tcPr>
          <w:p w14:paraId="0A6F1FE1" w14:textId="77777777" w:rsidR="003436FE" w:rsidRPr="002B370E" w:rsidRDefault="003436FE">
            <w:pPr>
              <w:spacing w:before="120" w:after="120"/>
              <w:jc w:val="center"/>
              <w:rPr>
                <w:sz w:val="22"/>
                <w:szCs w:val="22"/>
              </w:rPr>
            </w:pPr>
            <w:r>
              <w:rPr>
                <w:sz w:val="22"/>
                <w:szCs w:val="22"/>
              </w:rPr>
              <w:t>-</w:t>
            </w:r>
          </w:p>
        </w:tc>
      </w:tr>
      <w:tr w:rsidR="003436FE" w:rsidRPr="002B370E" w14:paraId="798300D6" w14:textId="77777777" w:rsidTr="001D7DF6">
        <w:tc>
          <w:tcPr>
            <w:tcW w:w="4253" w:type="dxa"/>
            <w:shd w:val="pct10" w:color="auto" w:fill="FFFFFF"/>
          </w:tcPr>
          <w:p w14:paraId="3D8E47C7" w14:textId="77777777" w:rsidR="003436FE" w:rsidRPr="002B370E" w:rsidRDefault="003436FE">
            <w:pPr>
              <w:spacing w:before="120" w:after="120"/>
              <w:rPr>
                <w:b/>
                <w:sz w:val="22"/>
                <w:szCs w:val="22"/>
              </w:rPr>
            </w:pPr>
            <w:r>
              <w:rPr>
                <w:b/>
                <w:sz w:val="22"/>
                <w:szCs w:val="22"/>
              </w:rPr>
              <w:t>Firma del contrato</w:t>
            </w:r>
          </w:p>
        </w:tc>
        <w:tc>
          <w:tcPr>
            <w:tcW w:w="1984" w:type="dxa"/>
          </w:tcPr>
          <w:p w14:paraId="16647DCE" w14:textId="77777777" w:rsidR="003436FE" w:rsidRPr="002B370E" w:rsidRDefault="003436FE">
            <w:pPr>
              <w:spacing w:before="120" w:after="120"/>
              <w:jc w:val="center"/>
              <w:rPr>
                <w:sz w:val="22"/>
                <w:szCs w:val="22"/>
              </w:rPr>
            </w:pPr>
            <w:r>
              <w:rPr>
                <w:sz w:val="22"/>
                <w:szCs w:val="22"/>
              </w:rPr>
              <w:t xml:space="preserve">&lt; </w:t>
            </w:r>
            <w:r>
              <w:rPr>
                <w:sz w:val="22"/>
                <w:szCs w:val="22"/>
                <w:highlight w:val="yellow"/>
              </w:rPr>
              <w:t>Fecha: como máximo 150 días después de que finalice el plazo de presentación de las ofertas</w:t>
            </w:r>
            <w:r>
              <w:rPr>
                <w:sz w:val="22"/>
                <w:szCs w:val="22"/>
              </w:rPr>
              <w:t xml:space="preserve"> &gt; </w:t>
            </w:r>
            <w:r>
              <w:rPr>
                <w:sz w:val="22"/>
                <w:szCs w:val="22"/>
                <w:vertAlign w:val="superscript"/>
              </w:rPr>
              <w:sym w:font="Monotype Sorts" w:char="F027"/>
            </w:r>
          </w:p>
        </w:tc>
        <w:tc>
          <w:tcPr>
            <w:tcW w:w="2127" w:type="dxa"/>
          </w:tcPr>
          <w:p w14:paraId="283AF984" w14:textId="77777777" w:rsidR="003436FE" w:rsidRPr="002B370E" w:rsidRDefault="003436FE">
            <w:pPr>
              <w:spacing w:before="120" w:after="120"/>
              <w:jc w:val="center"/>
              <w:rPr>
                <w:sz w:val="22"/>
                <w:szCs w:val="22"/>
              </w:rPr>
            </w:pPr>
            <w:r>
              <w:rPr>
                <w:sz w:val="22"/>
                <w:szCs w:val="22"/>
              </w:rPr>
              <w:t>-</w:t>
            </w:r>
          </w:p>
        </w:tc>
      </w:tr>
      <w:tr w:rsidR="003436FE" w:rsidRPr="002B370E" w14:paraId="31958234" w14:textId="77777777" w:rsidTr="001D7DF6">
        <w:tc>
          <w:tcPr>
            <w:tcW w:w="4253" w:type="dxa"/>
            <w:shd w:val="pct10" w:color="auto" w:fill="FFFFFF"/>
          </w:tcPr>
          <w:p w14:paraId="31C40150" w14:textId="77777777" w:rsidR="003436FE" w:rsidRPr="002B370E" w:rsidRDefault="003436FE">
            <w:pPr>
              <w:spacing w:before="120" w:after="120"/>
              <w:rPr>
                <w:b/>
                <w:sz w:val="22"/>
                <w:szCs w:val="22"/>
              </w:rPr>
            </w:pPr>
            <w:r>
              <w:rPr>
                <w:b/>
                <w:sz w:val="22"/>
                <w:szCs w:val="22"/>
              </w:rPr>
              <w:t>Fecha de inicio</w:t>
            </w:r>
          </w:p>
        </w:tc>
        <w:tc>
          <w:tcPr>
            <w:tcW w:w="1984" w:type="dxa"/>
          </w:tcPr>
          <w:p w14:paraId="47731F5F" w14:textId="77777777" w:rsidR="003436FE" w:rsidRPr="002B370E" w:rsidRDefault="003436FE">
            <w:pPr>
              <w:spacing w:before="120" w:after="120"/>
              <w:jc w:val="center"/>
              <w:rPr>
                <w:sz w:val="22"/>
                <w:szCs w:val="22"/>
              </w:rPr>
            </w:pPr>
            <w:r>
              <w:rPr>
                <w:sz w:val="22"/>
                <w:szCs w:val="22"/>
              </w:rPr>
              <w:t xml:space="preserve">&lt; </w:t>
            </w:r>
            <w:r>
              <w:rPr>
                <w:sz w:val="22"/>
                <w:szCs w:val="22"/>
                <w:highlight w:val="yellow"/>
              </w:rPr>
              <w:t>Fecha</w:t>
            </w:r>
            <w:r>
              <w:rPr>
                <w:sz w:val="22"/>
                <w:szCs w:val="22"/>
              </w:rPr>
              <w:t xml:space="preserve"> &gt; </w:t>
            </w:r>
            <w:r>
              <w:rPr>
                <w:sz w:val="22"/>
                <w:szCs w:val="22"/>
                <w:vertAlign w:val="superscript"/>
              </w:rPr>
              <w:sym w:font="Monotype Sorts" w:char="F027"/>
            </w:r>
          </w:p>
        </w:tc>
        <w:tc>
          <w:tcPr>
            <w:tcW w:w="2127" w:type="dxa"/>
          </w:tcPr>
          <w:p w14:paraId="26875A07" w14:textId="77777777" w:rsidR="003436FE" w:rsidRPr="002B370E" w:rsidRDefault="003436FE">
            <w:pPr>
              <w:spacing w:before="120" w:after="120"/>
              <w:jc w:val="center"/>
              <w:rPr>
                <w:sz w:val="22"/>
                <w:szCs w:val="22"/>
              </w:rPr>
            </w:pPr>
            <w:r>
              <w:rPr>
                <w:sz w:val="22"/>
                <w:szCs w:val="22"/>
              </w:rPr>
              <w:t>-</w:t>
            </w:r>
          </w:p>
        </w:tc>
      </w:tr>
    </w:tbl>
    <w:p w14:paraId="4FB0DF8E" w14:textId="30618D4D" w:rsidR="003436FE" w:rsidRPr="001D7DF6" w:rsidRDefault="003436FE" w:rsidP="00844B94">
      <w:pPr>
        <w:spacing w:beforeLines="120" w:before="288" w:afterLines="60" w:after="144"/>
        <w:rPr>
          <w:iCs/>
          <w:sz w:val="22"/>
          <w:szCs w:val="22"/>
          <w:highlight w:val="lightGray"/>
        </w:rPr>
      </w:pPr>
      <w:r>
        <w:rPr>
          <w:b/>
          <w:sz w:val="22"/>
          <w:szCs w:val="22"/>
        </w:rPr>
        <w:t xml:space="preserve">* </w:t>
      </w:r>
      <w:r w:rsidRPr="00820892">
        <w:rPr>
          <w:b/>
          <w:sz w:val="22"/>
          <w:szCs w:val="22"/>
        </w:rPr>
        <w:t>La zona horaria del país del Órgano de Contratación</w:t>
      </w:r>
      <w:r w:rsidR="006F2B10">
        <w:rPr>
          <w:b/>
          <w:sz w:val="22"/>
          <w:szCs w:val="22"/>
        </w:rPr>
        <w:t>.</w:t>
      </w:r>
      <w:r>
        <w:rPr>
          <w:b/>
          <w:sz w:val="22"/>
          <w:szCs w:val="22"/>
        </w:rPr>
        <w:br/>
      </w:r>
      <w:r>
        <w:rPr>
          <w:sz w:val="22"/>
          <w:szCs w:val="22"/>
          <w:vertAlign w:val="superscript"/>
        </w:rPr>
        <w:sym w:font="Monotype Sorts" w:char="F027"/>
      </w:r>
      <w:r>
        <w:rPr>
          <w:sz w:val="22"/>
          <w:szCs w:val="22"/>
          <w:vertAlign w:val="superscript"/>
        </w:rPr>
        <w:t xml:space="preserve">  </w:t>
      </w:r>
      <w:r>
        <w:rPr>
          <w:b/>
          <w:sz w:val="22"/>
          <w:szCs w:val="22"/>
        </w:rPr>
        <w:t>Fecha provisional</w:t>
      </w:r>
      <w:r w:rsidR="00490B0C">
        <w:rPr>
          <w:b/>
          <w:sz w:val="22"/>
          <w:szCs w:val="22"/>
        </w:rPr>
        <w:t>.</w:t>
      </w:r>
    </w:p>
    <w:p w14:paraId="4F7D1C2F" w14:textId="77777777" w:rsidR="003436FE" w:rsidRPr="002B370E" w:rsidRDefault="003436FE" w:rsidP="003436FE">
      <w:pPr>
        <w:keepNext/>
        <w:numPr>
          <w:ilvl w:val="0"/>
          <w:numId w:val="26"/>
        </w:numPr>
        <w:spacing w:before="120" w:after="120"/>
        <w:jc w:val="both"/>
        <w:rPr>
          <w:b/>
          <w:sz w:val="24"/>
          <w:szCs w:val="24"/>
        </w:rPr>
      </w:pPr>
      <w:bookmarkStart w:id="1" w:name="_Ref499615030"/>
      <w:r>
        <w:rPr>
          <w:b/>
          <w:sz w:val="24"/>
          <w:szCs w:val="24"/>
        </w:rPr>
        <w:t>Participación, expertos y subcontratación</w:t>
      </w:r>
      <w:bookmarkEnd w:id="1"/>
    </w:p>
    <w:p w14:paraId="49480D0A" w14:textId="02CF8795" w:rsidR="00477B81" w:rsidRPr="002B370E" w:rsidRDefault="003436FE" w:rsidP="00F52C4F">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9"/>
        <w:jc w:val="both"/>
        <w:rPr>
          <w:sz w:val="22"/>
          <w:szCs w:val="22"/>
        </w:rPr>
      </w:pPr>
      <w:r>
        <w:rPr>
          <w:sz w:val="22"/>
          <w:szCs w:val="22"/>
        </w:rPr>
        <w:t>La participación en este procedimiento de licitación está abierta únicamente a los licitadores invitados.</w:t>
      </w:r>
    </w:p>
    <w:p w14:paraId="6C291A90" w14:textId="77777777" w:rsidR="003436FE" w:rsidRPr="00CB5402" w:rsidRDefault="003436FE" w:rsidP="003436FE">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9"/>
        <w:jc w:val="both"/>
        <w:rPr>
          <w:sz w:val="22"/>
          <w:szCs w:val="22"/>
        </w:rPr>
      </w:pPr>
      <w:r>
        <w:rPr>
          <w:sz w:val="22"/>
        </w:rPr>
        <w:t>No tendrán derecho a participar en este procedimiento de licitación ni a ser adjudicatarias de un contrato las personas físicas o jurídicas que se encuentren en alguna de las situaciones mencionadas en los apartados 2.4</w:t>
      </w:r>
      <w:r>
        <w:rPr>
          <w:sz w:val="22"/>
          <w:szCs w:val="22"/>
        </w:rPr>
        <w:t xml:space="preserve"> (medidas restrictivas de la UE), 2.6.10.1.1 (criterios de exclusión) o 2.6.10.1.2 (exclusión de un procedimiento) de la </w:t>
      </w:r>
      <w:r>
        <w:rPr>
          <w:b/>
          <w:sz w:val="22"/>
          <w:szCs w:val="22"/>
        </w:rPr>
        <w:t>Guía Práctica</w:t>
      </w:r>
      <w:r>
        <w:rPr>
          <w:sz w:val="22"/>
          <w:szCs w:val="22"/>
        </w:rPr>
        <w:t xml:space="preserve">. Si lo hicieran, su oferta será considerada inadecuada o irregular. </w:t>
      </w:r>
    </w:p>
    <w:p w14:paraId="7FECEFA8" w14:textId="77777777" w:rsidR="003436FE" w:rsidRPr="002B370E" w:rsidRDefault="000E6A9C" w:rsidP="000E38EE">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hanging="330"/>
        <w:jc w:val="both"/>
        <w:rPr>
          <w:sz w:val="22"/>
          <w:szCs w:val="22"/>
        </w:rPr>
      </w:pPr>
      <w:r>
        <w:rPr>
          <w:sz w:val="22"/>
          <w:szCs w:val="22"/>
        </w:rPr>
        <w:t xml:space="preserve">En los casos enumerados en el apartado 2.6.10.1.1 de la </w:t>
      </w:r>
      <w:r>
        <w:rPr>
          <w:b/>
          <w:bCs/>
          <w:sz w:val="22"/>
          <w:szCs w:val="22"/>
        </w:rPr>
        <w:t>Guía Práctica</w:t>
      </w:r>
      <w:r>
        <w:rPr>
          <w:sz w:val="22"/>
          <w:szCs w:val="22"/>
        </w:rPr>
        <w:t xml:space="preserve">, los licitadores podrán ser excluidos de los procedimientos financiados por la UE y ser objeto de sanciones financieras por un valor equivalente como máximo al 10 % del valor total del contrato de conformidad con el Reglamento Financiero en vigor. Esta información podrá publicarse en el sitio web de la Comisión de conformidad con el Reglamento Financiero en vigor. </w:t>
      </w:r>
    </w:p>
    <w:p w14:paraId="3FB30F38" w14:textId="50975E0F" w:rsidR="003436FE" w:rsidRPr="002B370E" w:rsidRDefault="003436FE" w:rsidP="003436FE">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9"/>
        <w:jc w:val="both"/>
        <w:rPr>
          <w:sz w:val="22"/>
          <w:szCs w:val="22"/>
        </w:rPr>
      </w:pPr>
      <w:r>
        <w:rPr>
          <w:sz w:val="22"/>
          <w:szCs w:val="22"/>
        </w:rPr>
        <w:t>Las ofertas deben ser presentadas por el mismo operador económico o consorcio que haya presentado el formulario de solicitud de participación en que se basó su preselección y al que se haya dirigido la invitación a licitar. No se permite ningún cambio en la identidad o composición del licitador, a menos que se presente una solicitud escrita al Órgano de Contratación y este lo autorice por escrito.</w:t>
      </w:r>
    </w:p>
    <w:p w14:paraId="535BB5AD" w14:textId="5A003459" w:rsidR="003436FE" w:rsidRDefault="003436FE" w:rsidP="003436FE">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9"/>
        <w:jc w:val="both"/>
        <w:rPr>
          <w:sz w:val="22"/>
          <w:szCs w:val="22"/>
        </w:rPr>
      </w:pPr>
      <w:r>
        <w:rPr>
          <w:sz w:val="22"/>
          <w:szCs w:val="22"/>
        </w:rPr>
        <w:t xml:space="preserve">Los consorcios u operadores económicos preseleccionados no pueden asociarse con ninguna otra empresa ni establecer relaciones </w:t>
      </w:r>
      <w:proofErr w:type="spellStart"/>
      <w:r>
        <w:rPr>
          <w:sz w:val="22"/>
          <w:szCs w:val="22"/>
        </w:rPr>
        <w:t>subcontractuales</w:t>
      </w:r>
      <w:proofErr w:type="spellEnd"/>
      <w:r>
        <w:rPr>
          <w:sz w:val="22"/>
          <w:szCs w:val="22"/>
        </w:rPr>
        <w:t xml:space="preserve"> entre sí en relación con este contrato.</w:t>
      </w:r>
    </w:p>
    <w:p w14:paraId="0055A1FE" w14:textId="41429034" w:rsidR="00ED724E" w:rsidRPr="00B57716" w:rsidRDefault="00ED724E" w:rsidP="00B57716">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9"/>
        <w:jc w:val="both"/>
        <w:rPr>
          <w:sz w:val="22"/>
          <w:szCs w:val="22"/>
        </w:rPr>
      </w:pPr>
      <w:r>
        <w:t xml:space="preserve">El contrato entre el licitador/contratista y sus expertos, o el tercero que ponga a disposición los expertos, incluirá una disposición que establezca que los </w:t>
      </w:r>
      <w:r>
        <w:lastRenderedPageBreak/>
        <w:t>expertos están sujetos a la aprobación del país socio.</w:t>
      </w:r>
      <w:r>
        <w:rPr>
          <w:sz w:val="22"/>
          <w:szCs w:val="22"/>
        </w:rPr>
        <w:t xml:space="preserve"> Además, se recomienda que este contrato contenga una cláusula d</w:t>
      </w:r>
      <w:r w:rsidR="006152C2">
        <w:rPr>
          <w:sz w:val="22"/>
          <w:szCs w:val="22"/>
        </w:rPr>
        <w:t>e resolución de controversias.</w:t>
      </w:r>
    </w:p>
    <w:p w14:paraId="70342F37" w14:textId="0625361D" w:rsidR="00B748D9" w:rsidRDefault="00A62E0D" w:rsidP="00442485">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67" w:hanging="283"/>
        <w:jc w:val="both"/>
        <w:rPr>
          <w:sz w:val="22"/>
          <w:szCs w:val="22"/>
        </w:rPr>
      </w:pPr>
      <w:r>
        <w:rPr>
          <w:sz w:val="22"/>
          <w:szCs w:val="22"/>
        </w:rPr>
        <w:t xml:space="preserve">A efectos de la ejecución del contrato, la subcontratación es la única forma de colaboración permitida con empresas que no hayan sido preseleccionadas. El licitador y, en su caso, las entidades a cuyas capacidades haya recurrido en lo que respecta a los criterios de capacidad económica y financiera serán responsables solidarios de la ejecución del contrato. En el caso de que el licitador se proponga subcontratar una o más partes de los servicios contratados, debe hacerlo constar claramente en el documento sobre organización y metodología y en el formulario de presentación de la oferta. </w:t>
      </w:r>
    </w:p>
    <w:p w14:paraId="1D0435B0" w14:textId="77777777" w:rsidR="00DF3566" w:rsidRPr="00B748D9" w:rsidRDefault="00DF3566" w:rsidP="00442485">
      <w:pPr>
        <w:pStyle w:val="BodyText"/>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0"/>
        <w:jc w:val="both"/>
        <w:rPr>
          <w:sz w:val="22"/>
          <w:szCs w:val="22"/>
        </w:rPr>
      </w:pPr>
      <w:r>
        <w:rPr>
          <w:sz w:val="22"/>
          <w:szCs w:val="22"/>
          <w:highlight w:val="yellow"/>
        </w:rPr>
        <w:t>Insértese solo en caso de que el Órgano de Contratación identifique determinadas actividades críticas que no puedan subcontratarse</w:t>
      </w:r>
      <w:r>
        <w:rPr>
          <w:sz w:val="22"/>
          <w:szCs w:val="22"/>
        </w:rPr>
        <w:t xml:space="preserve"> [</w:t>
      </w:r>
      <w:r>
        <w:rPr>
          <w:sz w:val="22"/>
          <w:szCs w:val="22"/>
          <w:highlight w:val="lightGray"/>
        </w:rPr>
        <w:t>El Órgano de Contratación exige que las siguientes tareas críticas sean realizadas directamente por el propio licitador o, cuando la oferta sea presentada por una agrupación de operadores económicos, por un participante de la agrupación:</w:t>
      </w:r>
    </w:p>
    <w:p w14:paraId="458C6798" w14:textId="77777777" w:rsidR="00DF3566" w:rsidRPr="00200F20" w:rsidRDefault="00DF3566" w:rsidP="00DF3566">
      <w:pPr>
        <w:pStyle w:val="BodyText"/>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720"/>
        <w:jc w:val="both"/>
        <w:rPr>
          <w:sz w:val="22"/>
          <w:szCs w:val="22"/>
        </w:rPr>
      </w:pPr>
      <w:r>
        <w:rPr>
          <w:sz w:val="22"/>
          <w:szCs w:val="22"/>
          <w:highlight w:val="lightGray"/>
        </w:rPr>
        <w:t>1 &lt;</w:t>
      </w:r>
      <w:r>
        <w:rPr>
          <w:sz w:val="22"/>
          <w:szCs w:val="22"/>
          <w:highlight w:val="yellow"/>
        </w:rPr>
        <w:t>Tarea crítica 1 (defínase)</w:t>
      </w:r>
      <w:r>
        <w:rPr>
          <w:sz w:val="22"/>
          <w:szCs w:val="22"/>
          <w:highlight w:val="lightGray"/>
        </w:rPr>
        <w:t>&gt;</w:t>
      </w:r>
    </w:p>
    <w:p w14:paraId="366F1713" w14:textId="77777777" w:rsidR="00DF3566" w:rsidRPr="00200F20" w:rsidRDefault="00DF3566" w:rsidP="00DF3566">
      <w:pPr>
        <w:pStyle w:val="BodyText"/>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720"/>
        <w:jc w:val="both"/>
        <w:rPr>
          <w:sz w:val="22"/>
          <w:szCs w:val="22"/>
        </w:rPr>
      </w:pPr>
      <w:r>
        <w:rPr>
          <w:sz w:val="22"/>
          <w:szCs w:val="22"/>
          <w:highlight w:val="lightGray"/>
        </w:rPr>
        <w:t>2 &lt;</w:t>
      </w:r>
      <w:r>
        <w:rPr>
          <w:sz w:val="22"/>
          <w:szCs w:val="22"/>
          <w:highlight w:val="yellow"/>
        </w:rPr>
        <w:t>Tarea crítica 2 (defínase)</w:t>
      </w:r>
      <w:r>
        <w:rPr>
          <w:sz w:val="22"/>
          <w:szCs w:val="22"/>
          <w:highlight w:val="lightGray"/>
        </w:rPr>
        <w:t>&gt;</w:t>
      </w:r>
    </w:p>
    <w:p w14:paraId="5ED4FA1C" w14:textId="77777777" w:rsidR="00DF3566" w:rsidRPr="002A75C6" w:rsidRDefault="00DF3566" w:rsidP="00DF3566">
      <w:pPr>
        <w:pStyle w:val="BodyText"/>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720"/>
        <w:jc w:val="both"/>
        <w:rPr>
          <w:sz w:val="22"/>
          <w:szCs w:val="22"/>
          <w:highlight w:val="lightGray"/>
        </w:rPr>
      </w:pPr>
      <w:r>
        <w:rPr>
          <w:sz w:val="22"/>
          <w:szCs w:val="22"/>
          <w:highlight w:val="lightGray"/>
        </w:rPr>
        <w:t>3 …etc.]</w:t>
      </w:r>
    </w:p>
    <w:p w14:paraId="2B8BE595" w14:textId="5C99A238" w:rsidR="003436FE" w:rsidRPr="00200F20" w:rsidRDefault="003436FE" w:rsidP="0075795B">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hanging="286"/>
        <w:jc w:val="both"/>
        <w:rPr>
          <w:sz w:val="22"/>
          <w:szCs w:val="22"/>
        </w:rPr>
      </w:pPr>
      <w:r>
        <w:rPr>
          <w:sz w:val="22"/>
          <w:szCs w:val="22"/>
        </w:rPr>
        <w:t>Todos los subcontratistas y entidades a cuya capacidad el licitador tenga la intención de recurrir para los criterios de selección deben ser elegibles de cara al contrato. Si en el momento de presentar la oferta ya se conoce la identidad del subcontratista previsto, el licitador debe aportar una declaración en la que garantice que este reúne los criterios de elegibilidad. Se rechazarán las ofertas que incluyan subcontratistas/entidades suministradoras de capacidad que no cumplan los criterios de elegibilidad. Si en el momento de presentar la oferta aún no se conoce la identidad del subcontratista, los subcontratos deberán celebrarse con arreglo a las disposiciones de la cláusula 4 de las Condiciones Generales del contrato.</w:t>
      </w:r>
    </w:p>
    <w:p w14:paraId="30F33DB3" w14:textId="0CF11437" w:rsidR="003436FE" w:rsidRDefault="003436FE" w:rsidP="0075795B">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3" w:hanging="286"/>
        <w:jc w:val="both"/>
        <w:rPr>
          <w:sz w:val="22"/>
          <w:szCs w:val="22"/>
        </w:rPr>
      </w:pPr>
      <w:r>
        <w:rPr>
          <w:sz w:val="22"/>
          <w:szCs w:val="22"/>
        </w:rPr>
        <w:t xml:space="preserve">Los subcontratistas y las entidades suministradoras de capacidad no podrán encontrarse en ninguna de las situaciones de exclusión mencionadas en el apartado 2.6.10.1 de la Guía Práctica. A solicitud del Órgano de Contratación, el adjudicatario/contratista presentará una declaración del subcontratista o entidad suministradora de capacidad que se pretende contratar de que no se encuentra en una de las situaciones de exclusión. En caso de duda, el Órgano de Contratación solicitará la prueba documental de que el subcontratista o entidad suministradora de capacidad no se encuentra en una de las situaciones de exclusión. </w:t>
      </w:r>
    </w:p>
    <w:p w14:paraId="7E92DB2F" w14:textId="77777777" w:rsidR="003F160F" w:rsidRDefault="00B56865" w:rsidP="0075795B">
      <w:pPr>
        <w:pStyle w:val="BodyText"/>
        <w:numPr>
          <w:ilvl w:val="0"/>
          <w:numId w:val="17"/>
        </w:numPr>
        <w:tabs>
          <w:tab w:val="left" w:pos="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67" w:hanging="286"/>
        <w:jc w:val="both"/>
        <w:rPr>
          <w:sz w:val="22"/>
          <w:szCs w:val="22"/>
        </w:rPr>
      </w:pPr>
      <w:r>
        <w:rPr>
          <w:sz w:val="22"/>
          <w:szCs w:val="22"/>
        </w:rPr>
        <w:t xml:space="preserve">Para evitar cualquier duda, cuando los expertos no estén directamente empleados o contratados por el licitador o contratista, sino a través de un tercero, este último será un subcontratista. </w:t>
      </w:r>
    </w:p>
    <w:p w14:paraId="62EF8E23" w14:textId="3D992467" w:rsidR="00C15EC3" w:rsidRPr="003F160F" w:rsidRDefault="0075795B" w:rsidP="0075795B">
      <w:pPr>
        <w:pStyle w:val="BodyText"/>
        <w:tabs>
          <w:tab w:val="left" w:pos="0"/>
          <w:tab w:val="num" w:pos="57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0" w:hanging="286"/>
        <w:jc w:val="both"/>
        <w:rPr>
          <w:sz w:val="22"/>
          <w:szCs w:val="22"/>
        </w:rPr>
      </w:pPr>
      <w:r>
        <w:rPr>
          <w:sz w:val="22"/>
          <w:szCs w:val="22"/>
        </w:rPr>
        <w:tab/>
        <w:t xml:space="preserve">Se considerará que los expertos puestos a disposición por terceros (subcontratistas) son, a todos los efectos relacionados con el presente contrato, el personal del contratista. </w:t>
      </w:r>
    </w:p>
    <w:p w14:paraId="1E47F735" w14:textId="65B7D1C5" w:rsidR="003A3451" w:rsidRPr="00BE01D7" w:rsidRDefault="00C15EC3" w:rsidP="0075795B">
      <w:pPr>
        <w:pStyle w:val="BodyText"/>
        <w:tabs>
          <w:tab w:val="left" w:pos="0"/>
          <w:tab w:val="num" w:pos="570"/>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ind w:left="570" w:hanging="286"/>
        <w:jc w:val="both"/>
        <w:rPr>
          <w:sz w:val="22"/>
          <w:szCs w:val="22"/>
        </w:rPr>
      </w:pPr>
      <w:r>
        <w:rPr>
          <w:sz w:val="22"/>
          <w:szCs w:val="22"/>
        </w:rPr>
        <w:t xml:space="preserve"> k) [</w:t>
      </w:r>
      <w:r>
        <w:rPr>
          <w:sz w:val="22"/>
          <w:szCs w:val="22"/>
          <w:highlight w:val="yellow"/>
        </w:rPr>
        <w:t>FED exclusivamente:</w:t>
      </w:r>
      <w:r>
        <w:rPr>
          <w:sz w:val="22"/>
          <w:szCs w:val="22"/>
        </w:rPr>
        <w:t xml:space="preserve"> </w:t>
      </w:r>
      <w:r>
        <w:rPr>
          <w:sz w:val="22"/>
          <w:szCs w:val="22"/>
          <w:highlight w:val="lightGray"/>
        </w:rPr>
        <w:t>En la selección de los subcontratistas o de otros contratistas independientes se concederá preferencia a las personas físicas, empresas o sociedades de los Estados ACP que puedan prestar los servicios requeridos en condiciones similares.</w:t>
      </w:r>
      <w:r>
        <w:rPr>
          <w:sz w:val="22"/>
          <w:szCs w:val="22"/>
        </w:rPr>
        <w:t>]</w:t>
      </w:r>
    </w:p>
    <w:p w14:paraId="49E36007" w14:textId="77777777" w:rsidR="003436FE" w:rsidRPr="002B370E" w:rsidRDefault="003436FE" w:rsidP="003436FE">
      <w:pPr>
        <w:widowControl w:val="0"/>
        <w:numPr>
          <w:ilvl w:val="0"/>
          <w:numId w:val="26"/>
        </w:numPr>
        <w:spacing w:before="120" w:after="120"/>
        <w:jc w:val="both"/>
        <w:rPr>
          <w:b/>
          <w:sz w:val="24"/>
          <w:szCs w:val="24"/>
        </w:rPr>
      </w:pPr>
      <w:r>
        <w:rPr>
          <w:b/>
          <w:sz w:val="24"/>
          <w:szCs w:val="24"/>
        </w:rPr>
        <w:t>Contenido de las ofertas</w:t>
      </w:r>
    </w:p>
    <w:p w14:paraId="32E7DA17" w14:textId="77777777" w:rsidR="003436FE" w:rsidRPr="002B370E" w:rsidRDefault="003436FE" w:rsidP="003436FE">
      <w:pPr>
        <w:pStyle w:val="Heading2"/>
        <w:keepNext w:val="0"/>
        <w:widowControl w:val="0"/>
        <w:tabs>
          <w:tab w:val="clear" w:pos="426"/>
        </w:tabs>
        <w:spacing w:before="120" w:after="120"/>
        <w:jc w:val="both"/>
        <w:rPr>
          <w:sz w:val="22"/>
          <w:szCs w:val="22"/>
        </w:rPr>
      </w:pPr>
      <w:r>
        <w:rPr>
          <w:sz w:val="22"/>
          <w:szCs w:val="22"/>
        </w:rPr>
        <w:lastRenderedPageBreak/>
        <w:t>Las ofertas, la correspondencia y los documentos relacionados con las ofertas que se intercambien entre el licitador y el Órgano de Contratación se deberán redactar en español.</w:t>
      </w:r>
    </w:p>
    <w:p w14:paraId="03A66D44" w14:textId="77777777" w:rsidR="00A30058" w:rsidRPr="003F033F" w:rsidRDefault="003436FE" w:rsidP="003F033F">
      <w:pPr>
        <w:pStyle w:val="Heading2"/>
        <w:keepNext w:val="0"/>
        <w:widowControl w:val="0"/>
        <w:tabs>
          <w:tab w:val="clear" w:pos="426"/>
        </w:tabs>
        <w:spacing w:before="120" w:after="120"/>
        <w:jc w:val="both"/>
        <w:rPr>
          <w:b/>
          <w:sz w:val="22"/>
          <w:szCs w:val="22"/>
        </w:rPr>
      </w:pPr>
      <w:r>
        <w:rPr>
          <w:sz w:val="22"/>
          <w:szCs w:val="22"/>
        </w:rPr>
        <w:t xml:space="preserve">Los justificantes y los folletos impresos proporcionados por el licitador podrán estar redactados en otra lengua oficial de la UE. A efectos de interpretación de la oferta, prevalecerá la lengua del procedimiento. </w:t>
      </w:r>
    </w:p>
    <w:p w14:paraId="22BA7311" w14:textId="77777777" w:rsidR="00A30058" w:rsidRPr="003F033F" w:rsidRDefault="00A30058" w:rsidP="003F033F"/>
    <w:p w14:paraId="65DD10D7" w14:textId="4818027A" w:rsidR="00EC4820" w:rsidRDefault="00EC4820" w:rsidP="00442485">
      <w:pPr>
        <w:rPr>
          <w:sz w:val="22"/>
          <w:szCs w:val="22"/>
        </w:rPr>
      </w:pPr>
      <w:r>
        <w:rPr>
          <w:sz w:val="22"/>
          <w:szCs w:val="22"/>
        </w:rPr>
        <w:t>[</w:t>
      </w:r>
      <w:r>
        <w:rPr>
          <w:sz w:val="22"/>
          <w:szCs w:val="22"/>
          <w:highlight w:val="yellow"/>
        </w:rPr>
        <w:t>Presentación electrónica (gestión directa):</w:t>
      </w:r>
    </w:p>
    <w:p w14:paraId="10E07084" w14:textId="0591241D" w:rsidR="00EC4820" w:rsidRPr="00442485" w:rsidRDefault="00EC4820" w:rsidP="00B86896">
      <w:pPr>
        <w:pStyle w:val="Text1"/>
      </w:pPr>
      <w:r>
        <w:rPr>
          <w:b w:val="0"/>
          <w:sz w:val="22"/>
          <w:szCs w:val="22"/>
          <w:highlight w:val="lightGray"/>
        </w:rPr>
        <w:t xml:space="preserve">La oferta debe incluir una oferta técnica y una oferta financiera, que deberán presentarse a través de </w:t>
      </w:r>
      <w:proofErr w:type="spellStart"/>
      <w:r>
        <w:rPr>
          <w:b w:val="0"/>
          <w:sz w:val="22"/>
          <w:szCs w:val="22"/>
          <w:highlight w:val="lightGray"/>
        </w:rPr>
        <w:t>eSubmission</w:t>
      </w:r>
      <w:proofErr w:type="spellEnd"/>
      <w:r>
        <w:rPr>
          <w:b w:val="0"/>
          <w:sz w:val="22"/>
          <w:szCs w:val="22"/>
          <w:highlight w:val="lightGray"/>
        </w:rPr>
        <w:t>. Los documentos justificativos de la oferta técnica a que se refiere el punto 4.1 deben cargarse en la pestaña «Oferta técnica» de la sección «Documentos adjuntos». Los documentos justificativos de la oferta financiera a que se refiere el punto 4.2 deben cargarse en la pestaña «Oferta financiera» de la sección «Documentos adjuntos».</w:t>
      </w:r>
      <w:r w:rsidR="003A563C">
        <w:rPr>
          <w:b w:val="0"/>
          <w:sz w:val="22"/>
          <w:szCs w:val="22"/>
          <w:highlight w:val="lightGray"/>
        </w:rPr>
        <w:t>]</w:t>
      </w:r>
    </w:p>
    <w:p w14:paraId="0D493818" w14:textId="5DF6B66D" w:rsidR="00E152D1" w:rsidRDefault="00E152D1" w:rsidP="003436FE">
      <w:pPr>
        <w:widowControl w:val="0"/>
        <w:spacing w:before="120" w:after="120"/>
        <w:jc w:val="both"/>
        <w:rPr>
          <w:sz w:val="22"/>
          <w:szCs w:val="22"/>
        </w:rPr>
      </w:pPr>
      <w:r>
        <w:rPr>
          <w:sz w:val="22"/>
          <w:szCs w:val="22"/>
        </w:rPr>
        <w:t>[</w:t>
      </w:r>
      <w:r>
        <w:rPr>
          <w:sz w:val="22"/>
          <w:szCs w:val="22"/>
          <w:highlight w:val="yellow"/>
        </w:rPr>
        <w:t>Presentación en papel (gestión indirecta):</w:t>
      </w:r>
    </w:p>
    <w:p w14:paraId="4CF9B6C7" w14:textId="77777777" w:rsidR="00285B8F" w:rsidRDefault="003436FE" w:rsidP="003436FE">
      <w:pPr>
        <w:widowControl w:val="0"/>
        <w:spacing w:before="120" w:after="120"/>
        <w:jc w:val="both"/>
        <w:rPr>
          <w:sz w:val="22"/>
          <w:szCs w:val="22"/>
        </w:rPr>
      </w:pPr>
      <w:r>
        <w:rPr>
          <w:sz w:val="22"/>
          <w:szCs w:val="22"/>
          <w:highlight w:val="lightGray"/>
        </w:rPr>
        <w:t xml:space="preserve">La oferta debe constar de una oferta técnica y de una oferta financiera, que deben presentarse en sobres separados (véase la cláusula </w:t>
      </w:r>
      <w:r w:rsidRPr="002A75C6">
        <w:rPr>
          <w:sz w:val="22"/>
          <w:szCs w:val="22"/>
          <w:highlight w:val="lightGray"/>
        </w:rPr>
        <w:fldChar w:fldCharType="begin"/>
      </w:r>
      <w:r w:rsidRPr="002A75C6">
        <w:rPr>
          <w:sz w:val="22"/>
          <w:szCs w:val="22"/>
          <w:highlight w:val="lightGray"/>
        </w:rPr>
        <w:instrText xml:space="preserve"> REF _Ref499982672 \r \h  \* MERGEFORMAT </w:instrText>
      </w:r>
      <w:r w:rsidRPr="002A75C6">
        <w:rPr>
          <w:sz w:val="22"/>
          <w:szCs w:val="22"/>
          <w:highlight w:val="lightGray"/>
        </w:rPr>
      </w:r>
      <w:r w:rsidRPr="002A75C6">
        <w:rPr>
          <w:sz w:val="22"/>
          <w:szCs w:val="22"/>
          <w:highlight w:val="lightGray"/>
        </w:rPr>
        <w:fldChar w:fldCharType="separate"/>
      </w:r>
      <w:r w:rsidR="003C5CBF" w:rsidRPr="002A75C6">
        <w:rPr>
          <w:sz w:val="22"/>
          <w:szCs w:val="22"/>
          <w:highlight w:val="lightGray"/>
        </w:rPr>
        <w:t>8</w:t>
      </w:r>
      <w:r w:rsidRPr="002A75C6">
        <w:rPr>
          <w:sz w:val="22"/>
          <w:szCs w:val="22"/>
          <w:highlight w:val="lightGray"/>
        </w:rPr>
        <w:fldChar w:fldCharType="end"/>
      </w:r>
      <w:r>
        <w:rPr>
          <w:sz w:val="22"/>
          <w:szCs w:val="22"/>
          <w:highlight w:val="lightGray"/>
        </w:rPr>
        <w:t xml:space="preserve">). Cada oferta técnica y cada oferta financiera deberá contener un original, en el que se indicará claramente la mención </w:t>
      </w:r>
      <w:r>
        <w:rPr>
          <w:b/>
          <w:bCs/>
          <w:sz w:val="22"/>
          <w:szCs w:val="22"/>
          <w:highlight w:val="lightGray"/>
        </w:rPr>
        <w:t>«Original»</w:t>
      </w:r>
      <w:r>
        <w:rPr>
          <w:sz w:val="22"/>
          <w:szCs w:val="22"/>
          <w:highlight w:val="lightGray"/>
        </w:rPr>
        <w:t>, y &lt;</w:t>
      </w:r>
      <w:r>
        <w:rPr>
          <w:sz w:val="22"/>
          <w:szCs w:val="22"/>
          <w:highlight w:val="yellow"/>
        </w:rPr>
        <w:t>número</w:t>
      </w:r>
      <w:r>
        <w:rPr>
          <w:sz w:val="22"/>
          <w:szCs w:val="22"/>
        </w:rPr>
        <w:t xml:space="preserve"> </w:t>
      </w:r>
      <w:r>
        <w:rPr>
          <w:snapToGrid w:val="0"/>
          <w:sz w:val="22"/>
          <w:szCs w:val="22"/>
          <w:highlight w:val="yellow"/>
        </w:rPr>
        <w:t>(por razones medioambientales, se solicitará el menor número de copias posible, con impresión a doble cara, material degradable para las carpetas, presentaciones, etc.)</w:t>
      </w:r>
      <w:r>
        <w:rPr>
          <w:sz w:val="22"/>
          <w:szCs w:val="22"/>
          <w:highlight w:val="lightGray"/>
        </w:rPr>
        <w:t xml:space="preserve">&gt; copias, cada una de la cuales llevará la mención </w:t>
      </w:r>
      <w:r>
        <w:rPr>
          <w:b/>
          <w:bCs/>
          <w:sz w:val="22"/>
          <w:szCs w:val="22"/>
          <w:highlight w:val="lightGray"/>
        </w:rPr>
        <w:t>«Copia»</w:t>
      </w:r>
      <w:r>
        <w:rPr>
          <w:sz w:val="22"/>
          <w:szCs w:val="22"/>
        </w:rPr>
        <w:t>.</w:t>
      </w:r>
    </w:p>
    <w:p w14:paraId="22E5C3C4" w14:textId="7E617B32" w:rsidR="00E152D1" w:rsidRDefault="00285B8F" w:rsidP="00F52C4F">
      <w:pPr>
        <w:spacing w:before="120" w:after="120"/>
        <w:jc w:val="both"/>
        <w:rPr>
          <w:sz w:val="22"/>
          <w:szCs w:val="22"/>
        </w:rPr>
      </w:pPr>
      <w:r>
        <w:rPr>
          <w:sz w:val="22"/>
          <w:szCs w:val="22"/>
          <w:highlight w:val="lightGray"/>
        </w:rPr>
        <w:t>En el sobre independiente en el que se presente la oferta técnica, se incluirá, junto con la versión impresa de la oferta, la versi</w:t>
      </w:r>
      <w:bookmarkStart w:id="2" w:name="_Hlk157699740"/>
      <w:r>
        <w:rPr>
          <w:sz w:val="22"/>
          <w:szCs w:val="22"/>
          <w:highlight w:val="lightGray"/>
        </w:rPr>
        <w:t>ó</w:t>
      </w:r>
      <w:bookmarkEnd w:id="2"/>
      <w:r>
        <w:rPr>
          <w:sz w:val="22"/>
          <w:szCs w:val="22"/>
          <w:highlight w:val="lightGray"/>
        </w:rPr>
        <w:t>n electrónica de la misma. En el sobre independiente en el que se presente la oferta financiera, se incluirá, junto con la versión impresa de la oferta, la versión electrónica de la misma. En caso de discrepancia entre la versión electrónica y el original (la versión impresa), prevalecerá esta última.</w:t>
      </w:r>
      <w:r>
        <w:rPr>
          <w:sz w:val="22"/>
          <w:szCs w:val="22"/>
        </w:rPr>
        <w:t>]</w:t>
      </w:r>
    </w:p>
    <w:p w14:paraId="6393F704" w14:textId="026AC955" w:rsidR="003436FE" w:rsidRPr="002B370E" w:rsidRDefault="003436FE" w:rsidP="003436FE">
      <w:pPr>
        <w:widowControl w:val="0"/>
        <w:spacing w:before="120" w:after="120"/>
        <w:jc w:val="both"/>
        <w:rPr>
          <w:sz w:val="22"/>
          <w:szCs w:val="22"/>
        </w:rPr>
      </w:pPr>
      <w:r>
        <w:t xml:space="preserve">El incumplimiento de los requisitos establecidos en las cláusulas 4.1, 4.2 y </w:t>
      </w:r>
      <w:r w:rsidRPr="002B370E">
        <w:rPr>
          <w:sz w:val="22"/>
          <w:szCs w:val="22"/>
        </w:rPr>
        <w:fldChar w:fldCharType="begin"/>
      </w:r>
      <w:r w:rsidRPr="002B370E">
        <w:rPr>
          <w:sz w:val="22"/>
          <w:szCs w:val="22"/>
        </w:rPr>
        <w:instrText xml:space="preserve"> REF _Ref499982672 \r \h  \* MERGEFORMAT </w:instrText>
      </w:r>
      <w:r w:rsidRPr="002B370E">
        <w:rPr>
          <w:sz w:val="22"/>
          <w:szCs w:val="22"/>
        </w:rPr>
      </w:r>
      <w:r w:rsidRPr="002B370E">
        <w:rPr>
          <w:sz w:val="22"/>
          <w:szCs w:val="22"/>
        </w:rPr>
        <w:fldChar w:fldCharType="separate"/>
      </w:r>
      <w:r w:rsidR="003C5CBF">
        <w:rPr>
          <w:sz w:val="22"/>
          <w:szCs w:val="22"/>
        </w:rPr>
        <w:t>8</w:t>
      </w:r>
      <w:r w:rsidRPr="002B370E">
        <w:rPr>
          <w:sz w:val="22"/>
          <w:szCs w:val="22"/>
        </w:rPr>
        <w:fldChar w:fldCharType="end"/>
      </w:r>
      <w:r>
        <w:t xml:space="preserve"> constituirá una irregularidad que acarreará el rechazo de la oferta.</w:t>
      </w:r>
    </w:p>
    <w:p w14:paraId="3E7832DD" w14:textId="77777777" w:rsidR="003436FE" w:rsidRPr="002B370E" w:rsidRDefault="003436FE" w:rsidP="00010683">
      <w:pPr>
        <w:widowControl w:val="0"/>
        <w:spacing w:before="120" w:after="120"/>
        <w:ind w:left="567" w:hanging="567"/>
        <w:jc w:val="both"/>
        <w:rPr>
          <w:b/>
          <w:sz w:val="22"/>
          <w:szCs w:val="22"/>
        </w:rPr>
      </w:pPr>
      <w:r>
        <w:rPr>
          <w:b/>
          <w:sz w:val="22"/>
          <w:szCs w:val="22"/>
        </w:rPr>
        <w:t>4.1.</w:t>
      </w:r>
      <w:r>
        <w:rPr>
          <w:b/>
          <w:sz w:val="22"/>
          <w:szCs w:val="22"/>
        </w:rPr>
        <w:tab/>
        <w:t>Oferta técnica</w:t>
      </w:r>
    </w:p>
    <w:p w14:paraId="24441D08" w14:textId="707E190F" w:rsidR="003436FE" w:rsidRDefault="003436FE" w:rsidP="003436FE">
      <w:pPr>
        <w:widowControl w:val="0"/>
        <w:spacing w:before="120" w:after="120"/>
        <w:jc w:val="both"/>
        <w:rPr>
          <w:sz w:val="22"/>
          <w:szCs w:val="22"/>
        </w:rPr>
      </w:pPr>
      <w:r>
        <w:rPr>
          <w:sz w:val="22"/>
          <w:szCs w:val="22"/>
        </w:rPr>
        <w:t>La oferta técnica debe contener los siguientes documentos:</w:t>
      </w:r>
    </w:p>
    <w:p w14:paraId="641A8017" w14:textId="30944EA9" w:rsidR="001320C0" w:rsidRDefault="001320C0" w:rsidP="003436FE">
      <w:pPr>
        <w:widowControl w:val="0"/>
        <w:spacing w:before="120" w:after="120"/>
        <w:jc w:val="both"/>
        <w:rPr>
          <w:sz w:val="22"/>
          <w:szCs w:val="22"/>
        </w:rPr>
      </w:pPr>
      <w:r>
        <w:rPr>
          <w:sz w:val="22"/>
          <w:szCs w:val="22"/>
        </w:rPr>
        <w:t>Los documentos enumerados en los puntos 1 a 4 deberán presentarse dentro del plazo de presentación de ofertas.</w:t>
      </w:r>
    </w:p>
    <w:p w14:paraId="67B0D76E" w14:textId="7265179C" w:rsidR="001320C0" w:rsidRPr="002B370E" w:rsidRDefault="001320C0" w:rsidP="003436FE">
      <w:pPr>
        <w:widowControl w:val="0"/>
        <w:spacing w:before="120" w:after="120"/>
        <w:jc w:val="both"/>
        <w:rPr>
          <w:sz w:val="22"/>
          <w:szCs w:val="22"/>
        </w:rPr>
      </w:pPr>
      <w:r>
        <w:rPr>
          <w:sz w:val="22"/>
          <w:szCs w:val="22"/>
        </w:rPr>
        <w:t>Las pruebas documentales enumeradas en los puntos 5 y 6 no deben presentarse dentro del plazo de presentación de ofertas. En su lugar, los licitadores deben prepararlas y ponerlas a disposición del Órgano de Contratación en caso de que este lo requiera. El Órgano de Contratación podrá solicitar las pruebas documentales en cualquier momento de la licitación. Cuando se le solicite, el licitador deberá presentar las pruebas documentales en un plazo breve. En cualquier caso, el licitador propuesto por el Comité de Evaluación para la adjudicación del contrato deberá presentar las pruebas documentales enumeradas en los puntos 5 y 6 antes de la adjudicación del contrato.</w:t>
      </w:r>
    </w:p>
    <w:p w14:paraId="06459871" w14:textId="77777777" w:rsidR="00CA7115" w:rsidRPr="00CA7115" w:rsidRDefault="003436FE" w:rsidP="00CA7115">
      <w:pPr>
        <w:widowControl w:val="0"/>
        <w:numPr>
          <w:ilvl w:val="0"/>
          <w:numId w:val="20"/>
        </w:numPr>
        <w:tabs>
          <w:tab w:val="num" w:pos="567"/>
        </w:tabs>
        <w:spacing w:before="120" w:after="120"/>
        <w:ind w:left="567" w:hanging="567"/>
        <w:jc w:val="both"/>
        <w:rPr>
          <w:sz w:val="22"/>
          <w:szCs w:val="22"/>
        </w:rPr>
      </w:pPr>
      <w:r>
        <w:rPr>
          <w:b/>
          <w:bCs/>
          <w:sz w:val="22"/>
          <w:szCs w:val="22"/>
        </w:rPr>
        <w:t>Formulario de presentación de la oferta</w:t>
      </w:r>
      <w:r>
        <w:rPr>
          <w:sz w:val="22"/>
          <w:szCs w:val="22"/>
        </w:rPr>
        <w:t xml:space="preserve"> (véase la parte D del presente expediente), que incluirá:</w:t>
      </w:r>
    </w:p>
    <w:p w14:paraId="36F5D5BB" w14:textId="2B47B488" w:rsidR="003436FE" w:rsidRPr="002A75C6" w:rsidRDefault="00B62100" w:rsidP="00CA466F">
      <w:pPr>
        <w:numPr>
          <w:ilvl w:val="0"/>
          <w:numId w:val="27"/>
        </w:numPr>
        <w:tabs>
          <w:tab w:val="clear" w:pos="360"/>
          <w:tab w:val="num" w:pos="851"/>
        </w:tabs>
        <w:spacing w:before="120" w:after="120"/>
        <w:ind w:left="851" w:hanging="284"/>
        <w:jc w:val="both"/>
        <w:rPr>
          <w:sz w:val="22"/>
          <w:szCs w:val="22"/>
          <w:highlight w:val="lightGray"/>
        </w:rPr>
      </w:pPr>
      <w:r>
        <w:rPr>
          <w:sz w:val="22"/>
          <w:szCs w:val="22"/>
        </w:rPr>
        <w:t>[</w:t>
      </w:r>
      <w:r>
        <w:rPr>
          <w:sz w:val="22"/>
          <w:szCs w:val="22"/>
          <w:highlight w:val="yellow"/>
        </w:rPr>
        <w:t>Optativo para los contratos de precio global</w:t>
      </w:r>
      <w:r>
        <w:rPr>
          <w:sz w:val="22"/>
          <w:szCs w:val="22"/>
          <w:highlight w:val="lightGray"/>
        </w:rPr>
        <w:t xml:space="preserve"> Declaraciones de exclusividad y disponibilidad (utilícese la plantilla incluida con el formulario de presentación de la oferta) firmadas por cada uno de los expertos principales a los siguientes efectos:</w:t>
      </w:r>
    </w:p>
    <w:p w14:paraId="101546FF" w14:textId="77777777" w:rsidR="003436FE" w:rsidRPr="002A75C6" w:rsidRDefault="003436FE" w:rsidP="003436FE">
      <w:pPr>
        <w:numPr>
          <w:ilvl w:val="0"/>
          <w:numId w:val="35"/>
        </w:numPr>
        <w:tabs>
          <w:tab w:val="clear" w:pos="360"/>
        </w:tabs>
        <w:spacing w:before="120" w:after="120"/>
        <w:ind w:left="1276"/>
        <w:jc w:val="both"/>
        <w:rPr>
          <w:sz w:val="22"/>
          <w:szCs w:val="22"/>
          <w:highlight w:val="lightGray"/>
        </w:rPr>
      </w:pPr>
      <w:r>
        <w:rPr>
          <w:sz w:val="22"/>
          <w:szCs w:val="22"/>
          <w:highlight w:val="lightGray"/>
        </w:rPr>
        <w:lastRenderedPageBreak/>
        <w:t>Los expertos principales propuestos en la oferta no deben figurar en ninguna otra oferta presentada para este procedimiento de licitación. Por consiguiente, deben comprometerse exclusivamente con el licitador.</w:t>
      </w:r>
    </w:p>
    <w:p w14:paraId="1B5152DF" w14:textId="77777777" w:rsidR="003436FE" w:rsidRPr="002A75C6" w:rsidRDefault="003436FE" w:rsidP="003436FE">
      <w:pPr>
        <w:keepNext/>
        <w:numPr>
          <w:ilvl w:val="0"/>
          <w:numId w:val="35"/>
        </w:numPr>
        <w:tabs>
          <w:tab w:val="clear" w:pos="360"/>
        </w:tabs>
        <w:spacing w:before="120" w:after="120"/>
        <w:ind w:left="1276" w:hanging="357"/>
        <w:jc w:val="both"/>
        <w:rPr>
          <w:sz w:val="22"/>
          <w:szCs w:val="22"/>
          <w:highlight w:val="lightGray"/>
        </w:rPr>
      </w:pPr>
      <w:r>
        <w:rPr>
          <w:sz w:val="22"/>
          <w:szCs w:val="22"/>
          <w:highlight w:val="lightGray"/>
        </w:rPr>
        <w:t>Cada experto principal debe comprometerse a estar disponible y a ser capaz y estar dispuesto a trabajar a lo largo de todo el período previsto para su participación en la ejecución de las tareas expuestas en el Pliego de Condiciones o en el documento sobre organización y metodología.</w:t>
      </w:r>
    </w:p>
    <w:p w14:paraId="19E4EB43" w14:textId="77777777" w:rsidR="003436FE" w:rsidRPr="002A75C6" w:rsidRDefault="003436FE" w:rsidP="000D7C22">
      <w:pPr>
        <w:pStyle w:val="BodyText2"/>
        <w:tabs>
          <w:tab w:val="clear" w:pos="567"/>
        </w:tabs>
        <w:spacing w:before="120" w:after="120"/>
        <w:ind w:left="851"/>
        <w:rPr>
          <w:sz w:val="22"/>
          <w:szCs w:val="22"/>
          <w:highlight w:val="lightGray"/>
        </w:rPr>
      </w:pPr>
      <w:r>
        <w:rPr>
          <w:sz w:val="22"/>
          <w:szCs w:val="22"/>
          <w:highlight w:val="lightGray"/>
        </w:rPr>
        <w:t>Los expertos que no sean los principales no tendrán que firmar declaraciones de exclusividad y disponibilidad.</w:t>
      </w:r>
    </w:p>
    <w:p w14:paraId="7E22304B" w14:textId="77777777" w:rsidR="003436FE" w:rsidRPr="002A75C6" w:rsidRDefault="003436FE" w:rsidP="003436FE">
      <w:pPr>
        <w:pStyle w:val="BodyText2"/>
        <w:tabs>
          <w:tab w:val="clear" w:pos="567"/>
        </w:tabs>
        <w:spacing w:before="120" w:after="120"/>
        <w:ind w:left="851"/>
        <w:rPr>
          <w:sz w:val="22"/>
          <w:szCs w:val="22"/>
          <w:highlight w:val="lightGray"/>
        </w:rPr>
      </w:pPr>
      <w:r>
        <w:rPr>
          <w:sz w:val="22"/>
          <w:szCs w:val="22"/>
          <w:highlight w:val="lightGray"/>
        </w:rPr>
        <w:t>En ningún caso se deberá proponer como experto principal para el presente contrato a un experto que esté trabajando en otro proyecto financiado por la UE / el FED con arreglo a un contrato en virtud del cual sus funciones puedan requerirse en fechas coincidentes con las de sus actividades en el marco del presente contrato. Por consiguiente, las fechas indicadas por los expertos principales en sus declaraciones de exclusividad y disponibilidad de las ofertas correspondientes a la presente licitación no podrán coincidir con las fechas en las que estén comprometidos a trabajar como experto principal en cualquier otro contrato.</w:t>
      </w:r>
    </w:p>
    <w:p w14:paraId="00A3ADFA" w14:textId="77777777" w:rsidR="003436FE" w:rsidRPr="002A75C6" w:rsidRDefault="003436FE" w:rsidP="003436FE">
      <w:pPr>
        <w:pStyle w:val="BodyText2"/>
        <w:tabs>
          <w:tab w:val="clear" w:pos="567"/>
        </w:tabs>
        <w:spacing w:before="120" w:after="120"/>
        <w:ind w:left="851"/>
        <w:rPr>
          <w:sz w:val="22"/>
          <w:szCs w:val="22"/>
          <w:highlight w:val="lightGray"/>
        </w:rPr>
      </w:pPr>
      <w:r>
        <w:rPr>
          <w:sz w:val="22"/>
          <w:szCs w:val="22"/>
          <w:highlight w:val="lightGray"/>
        </w:rPr>
        <w:t>El experto principal puede participar en otros procedimientos de licitación, pero debe informar al Órgano de Contratación de tal situación en la declaración de exclusividad y disponibilidad. Asimismo, se espera que el experto principal notifique inmediatamente al licitador si es seleccionado para otro procedimiento de licitación y si prevé aceptar el contrato que le sea ofrecido en primer lugar cronológicamente.</w:t>
      </w:r>
    </w:p>
    <w:p w14:paraId="225605B2" w14:textId="77777777" w:rsidR="003436FE" w:rsidRPr="002A75C6" w:rsidRDefault="003436FE" w:rsidP="003436FE">
      <w:pPr>
        <w:pStyle w:val="BodyText2"/>
        <w:tabs>
          <w:tab w:val="clear" w:pos="567"/>
        </w:tabs>
        <w:spacing w:before="120" w:after="120"/>
        <w:ind w:left="851"/>
        <w:rPr>
          <w:sz w:val="22"/>
          <w:szCs w:val="22"/>
          <w:highlight w:val="lightGray"/>
        </w:rPr>
      </w:pPr>
      <w:r>
        <w:rPr>
          <w:sz w:val="22"/>
          <w:szCs w:val="22"/>
          <w:highlight w:val="lightGray"/>
        </w:rPr>
        <w:t>En caso de que un experto principal sea propuesto como experto principal por más de un licitador, las ofertas correspondientes serán rechazadas. Lo mismo sucederá si el experto principal propuesto ha participado en la preparación del proyecto. El experto en cuestión será excluido de este procedimiento de licitación y podrá asimismo ser excluido de otros contratos financiados por la UE/el FED.</w:t>
      </w:r>
    </w:p>
    <w:p w14:paraId="59254825" w14:textId="77777777" w:rsidR="003436FE" w:rsidRPr="002B370E" w:rsidRDefault="003436FE" w:rsidP="003436FE">
      <w:pPr>
        <w:pStyle w:val="BodyText2"/>
        <w:widowControl w:val="0"/>
        <w:tabs>
          <w:tab w:val="clear" w:pos="567"/>
        </w:tabs>
        <w:spacing w:before="120" w:after="120"/>
        <w:ind w:left="851"/>
        <w:rPr>
          <w:sz w:val="22"/>
          <w:szCs w:val="22"/>
        </w:rPr>
      </w:pPr>
      <w:r>
        <w:rPr>
          <w:sz w:val="22"/>
          <w:szCs w:val="22"/>
          <w:highlight w:val="lightGray"/>
        </w:rPr>
        <w:t>La selección de las empresas se basa en parte en la evaluación de los expertos principales presentados en la oferta; por consiguiente, el Órgano de Contratación espera que sean esos mismos expertos los que ejecuten el contrato. Sin embargo, después de la carta de adjudicación, el adjudicatario puede proponer la sustitución de los expertos bajo determinadas condiciones (para más información, véase el punto 14).]</w:t>
      </w:r>
    </w:p>
    <w:p w14:paraId="064D878D" w14:textId="77777777" w:rsidR="003436FE" w:rsidRPr="002B370E" w:rsidRDefault="003436FE" w:rsidP="00BF497E">
      <w:pPr>
        <w:numPr>
          <w:ilvl w:val="0"/>
          <w:numId w:val="27"/>
        </w:numPr>
        <w:tabs>
          <w:tab w:val="clear" w:pos="360"/>
          <w:tab w:val="num" w:pos="927"/>
        </w:tabs>
        <w:spacing w:before="120" w:after="120"/>
        <w:ind w:left="927"/>
        <w:jc w:val="both"/>
        <w:rPr>
          <w:sz w:val="22"/>
          <w:szCs w:val="22"/>
        </w:rPr>
      </w:pPr>
      <w:r>
        <w:rPr>
          <w:sz w:val="22"/>
          <w:szCs w:val="22"/>
        </w:rPr>
        <w:t xml:space="preserve">Una </w:t>
      </w:r>
      <w:r>
        <w:rPr>
          <w:b/>
          <w:bCs/>
          <w:sz w:val="22"/>
          <w:szCs w:val="22"/>
        </w:rPr>
        <w:t>declaración</w:t>
      </w:r>
      <w:r>
        <w:rPr>
          <w:sz w:val="22"/>
          <w:szCs w:val="22"/>
        </w:rPr>
        <w:t xml:space="preserve"> firmada utilizando el formato adjunto al formulario de presentación de la oferta.</w:t>
      </w:r>
    </w:p>
    <w:p w14:paraId="6755EEC2" w14:textId="77777777" w:rsidR="003436FE" w:rsidRPr="002B370E" w:rsidRDefault="003436FE" w:rsidP="00BF497E">
      <w:pPr>
        <w:numPr>
          <w:ilvl w:val="0"/>
          <w:numId w:val="27"/>
        </w:numPr>
        <w:tabs>
          <w:tab w:val="clear" w:pos="360"/>
          <w:tab w:val="num" w:pos="927"/>
        </w:tabs>
        <w:spacing w:before="120" w:after="120"/>
        <w:ind w:left="927"/>
        <w:jc w:val="both"/>
        <w:rPr>
          <w:sz w:val="22"/>
          <w:szCs w:val="22"/>
        </w:rPr>
      </w:pPr>
      <w:r>
        <w:rPr>
          <w:sz w:val="22"/>
          <w:szCs w:val="22"/>
        </w:rPr>
        <w:t xml:space="preserve">Una </w:t>
      </w:r>
      <w:r>
        <w:rPr>
          <w:b/>
          <w:bCs/>
          <w:sz w:val="22"/>
          <w:szCs w:val="22"/>
        </w:rPr>
        <w:t>ficha de identificación financiera</w:t>
      </w:r>
      <w:r>
        <w:rPr>
          <w:sz w:val="22"/>
          <w:szCs w:val="22"/>
        </w:rPr>
        <w:t xml:space="preserve"> cumplimentada (véase el anexo VI del proyecto de contrato) para indicar la cuenta bancaria en la que deberán efectuarse los pagos en caso de que el licitador sea seleccionado. (Si el licitador ya ha firmado otro contrato con la Comisión Europea, podrá presentar en su lugar bien el número de la ficha de identificación financiera o una copia de la ficha presentada con el contrato en dicha ocasión, a no ser que entretanto haya cambiado).</w:t>
      </w:r>
    </w:p>
    <w:p w14:paraId="66B56DB4" w14:textId="77777777" w:rsidR="003436FE" w:rsidRPr="002B370E" w:rsidRDefault="003436FE" w:rsidP="00BF497E">
      <w:pPr>
        <w:numPr>
          <w:ilvl w:val="0"/>
          <w:numId w:val="27"/>
        </w:numPr>
        <w:tabs>
          <w:tab w:val="clear" w:pos="360"/>
          <w:tab w:val="num" w:pos="927"/>
        </w:tabs>
        <w:spacing w:before="120" w:after="120"/>
        <w:ind w:left="927"/>
        <w:jc w:val="both"/>
        <w:rPr>
          <w:sz w:val="22"/>
          <w:szCs w:val="22"/>
        </w:rPr>
      </w:pPr>
      <w:r>
        <w:rPr>
          <w:sz w:val="22"/>
          <w:szCs w:val="22"/>
        </w:rPr>
        <w:t xml:space="preserve">La </w:t>
      </w:r>
      <w:r>
        <w:rPr>
          <w:b/>
          <w:bCs/>
          <w:sz w:val="22"/>
          <w:szCs w:val="22"/>
        </w:rPr>
        <w:t>ficha de entidad legal</w:t>
      </w:r>
      <w:r>
        <w:rPr>
          <w:sz w:val="22"/>
          <w:szCs w:val="22"/>
        </w:rPr>
        <w:t xml:space="preserve"> y los correspondientes justificantes (si el licitador ya ha firmado otro contrato con la Comisión Europea, podrá presentar en su lugar el número de la ficha de entidad legal o la copia de esta ficha presentada con el </w:t>
      </w:r>
      <w:r>
        <w:rPr>
          <w:sz w:val="22"/>
          <w:szCs w:val="22"/>
        </w:rPr>
        <w:lastRenderedPageBreak/>
        <w:t>contrato en dicha ocasión, a no ser que entretanto haya cambiado su naturaleza jurídica).</w:t>
      </w:r>
    </w:p>
    <w:p w14:paraId="593E7B70" w14:textId="77777777" w:rsidR="003436FE" w:rsidRPr="002B370E" w:rsidRDefault="003436FE" w:rsidP="00BF497E">
      <w:pPr>
        <w:numPr>
          <w:ilvl w:val="0"/>
          <w:numId w:val="27"/>
        </w:numPr>
        <w:tabs>
          <w:tab w:val="clear" w:pos="360"/>
          <w:tab w:val="num" w:pos="927"/>
        </w:tabs>
        <w:spacing w:before="120" w:after="120"/>
        <w:ind w:left="927"/>
        <w:jc w:val="both"/>
        <w:rPr>
          <w:sz w:val="22"/>
          <w:szCs w:val="22"/>
        </w:rPr>
      </w:pPr>
      <w:r>
        <w:rPr>
          <w:sz w:val="22"/>
          <w:szCs w:val="22"/>
        </w:rPr>
        <w:t xml:space="preserve">Firma debidamente autorizada: un documento oficial (estatutos, poder de representación, acta notarial, etc.) que pruebe que la persona que firma en nombre de la empresa/empresa conjunta/consorcio está debidamente autorizada para ello. </w:t>
      </w:r>
    </w:p>
    <w:p w14:paraId="4D126ADA" w14:textId="77777777" w:rsidR="003436FE" w:rsidRPr="002B370E" w:rsidRDefault="003436FE" w:rsidP="003436FE">
      <w:pPr>
        <w:numPr>
          <w:ilvl w:val="0"/>
          <w:numId w:val="20"/>
        </w:numPr>
        <w:tabs>
          <w:tab w:val="num" w:pos="567"/>
        </w:tabs>
        <w:spacing w:before="120" w:after="120"/>
        <w:ind w:left="567" w:hanging="567"/>
        <w:jc w:val="both"/>
        <w:rPr>
          <w:sz w:val="22"/>
          <w:szCs w:val="22"/>
        </w:rPr>
      </w:pPr>
      <w:r>
        <w:rPr>
          <w:b/>
          <w:sz w:val="22"/>
          <w:szCs w:val="22"/>
        </w:rPr>
        <w:t>Organización y metodología</w:t>
      </w:r>
      <w:r>
        <w:rPr>
          <w:sz w:val="22"/>
          <w:szCs w:val="22"/>
        </w:rPr>
        <w:t xml:space="preserve"> (se convertirá en anexo III del contrato), que debe preparar el licitador utilizando el modelo del anexo III del proyecto de contrato.</w:t>
      </w:r>
    </w:p>
    <w:p w14:paraId="569A0E00" w14:textId="77777777" w:rsidR="003436FE" w:rsidRPr="002B370E" w:rsidRDefault="003436FE" w:rsidP="003436FE">
      <w:pPr>
        <w:spacing w:before="120" w:after="120"/>
        <w:ind w:left="567"/>
        <w:jc w:val="both"/>
        <w:rPr>
          <w:sz w:val="22"/>
          <w:szCs w:val="22"/>
        </w:rPr>
      </w:pPr>
      <w:r>
        <w:rPr>
          <w:sz w:val="22"/>
          <w:szCs w:val="22"/>
        </w:rPr>
        <w:t>[</w:t>
      </w:r>
      <w:r>
        <w:rPr>
          <w:sz w:val="22"/>
          <w:szCs w:val="22"/>
          <w:highlight w:val="yellow"/>
        </w:rPr>
        <w:t>Para los contratos basados en honorarios:</w:t>
      </w:r>
      <w:r>
        <w:rPr>
          <w:b/>
          <w:sz w:val="22"/>
          <w:szCs w:val="22"/>
        </w:rPr>
        <w:t xml:space="preserve"> </w:t>
      </w:r>
      <w:r>
        <w:rPr>
          <w:sz w:val="22"/>
          <w:szCs w:val="22"/>
          <w:highlight w:val="lightGray"/>
        </w:rPr>
        <w:t>La hoja de cálculo con el «Número estimado de días de trabajo» (en la hoja de cálculo correspondiente al desglose presupuestario para el anexo V) deberá incluirse en el documento sobre organización y metodología.</w:t>
      </w:r>
      <w:r>
        <w:rPr>
          <w:sz w:val="22"/>
          <w:szCs w:val="22"/>
        </w:rPr>
        <w:t>]</w:t>
      </w:r>
    </w:p>
    <w:p w14:paraId="6F1809E9" w14:textId="78E59ECB" w:rsidR="003436FE" w:rsidRPr="002B370E" w:rsidRDefault="00B62100" w:rsidP="003436FE">
      <w:pPr>
        <w:numPr>
          <w:ilvl w:val="0"/>
          <w:numId w:val="20"/>
        </w:numPr>
        <w:tabs>
          <w:tab w:val="num" w:pos="567"/>
        </w:tabs>
        <w:spacing w:before="120" w:after="120"/>
        <w:ind w:left="567" w:hanging="567"/>
        <w:jc w:val="both"/>
        <w:rPr>
          <w:sz w:val="22"/>
          <w:szCs w:val="22"/>
        </w:rPr>
      </w:pPr>
      <w:r>
        <w:rPr>
          <w:sz w:val="22"/>
          <w:szCs w:val="22"/>
        </w:rPr>
        <w:t>[</w:t>
      </w:r>
      <w:r>
        <w:rPr>
          <w:sz w:val="22"/>
          <w:szCs w:val="22"/>
          <w:highlight w:val="yellow"/>
        </w:rPr>
        <w:t>Optativo para los contratos de precio global</w:t>
      </w:r>
      <w:r>
        <w:rPr>
          <w:sz w:val="22"/>
          <w:szCs w:val="22"/>
        </w:rPr>
        <w:t xml:space="preserve"> </w:t>
      </w:r>
      <w:r>
        <w:rPr>
          <w:b/>
          <w:sz w:val="22"/>
          <w:szCs w:val="22"/>
        </w:rPr>
        <w:t>Expertos principales</w:t>
      </w:r>
      <w:r>
        <w:rPr>
          <w:sz w:val="22"/>
          <w:szCs w:val="22"/>
          <w:highlight w:val="lightGray"/>
        </w:rPr>
        <w:t xml:space="preserve"> (se convertirá en el anexo IV del contrato). Los expertos principales son las personas cuya participación se considera decisiva para alcanzar los objetivos del contrato.</w:t>
      </w:r>
      <w:r>
        <w:rPr>
          <w:sz w:val="22"/>
          <w:szCs w:val="22"/>
        </w:rPr>
        <w:t xml:space="preserve"> [</w:t>
      </w:r>
      <w:r>
        <w:rPr>
          <w:sz w:val="22"/>
          <w:szCs w:val="22"/>
          <w:highlight w:val="yellow"/>
        </w:rPr>
        <w:t>Únicamente para los contratos basados en honorarios:</w:t>
      </w:r>
      <w:r>
        <w:rPr>
          <w:sz w:val="22"/>
          <w:szCs w:val="22"/>
        </w:rPr>
        <w:t xml:space="preserve"> </w:t>
      </w:r>
      <w:r>
        <w:rPr>
          <w:sz w:val="22"/>
          <w:szCs w:val="22"/>
          <w:highlight w:val="lightGray"/>
        </w:rPr>
        <w:t>Sus funciones y responsabilidades se especifican en la sección 6.1.1 del Pliego de Condiciones que figura en el anexo II del proyecto de contrato; están sometidos a evaluación realizada de acuerdo con la tabla de evaluación que figura en la parte C del presente expediente de licitación.</w:t>
      </w:r>
      <w:r>
        <w:rPr>
          <w:sz w:val="22"/>
          <w:szCs w:val="22"/>
        </w:rPr>
        <w:t xml:space="preserve">] </w:t>
      </w:r>
      <w:r>
        <w:rPr>
          <w:sz w:val="22"/>
          <w:szCs w:val="22"/>
          <w:highlight w:val="lightGray"/>
        </w:rPr>
        <w:t>[El Comité de Evaluación puede convocarlos a una entrevista.]</w:t>
      </w:r>
    </w:p>
    <w:p w14:paraId="08412FC7" w14:textId="1C09C656" w:rsidR="003436FE" w:rsidRPr="002A75C6" w:rsidRDefault="00C21D95" w:rsidP="003436FE">
      <w:pPr>
        <w:spacing w:before="120" w:after="120"/>
        <w:ind w:left="567"/>
        <w:jc w:val="both"/>
        <w:rPr>
          <w:sz w:val="22"/>
          <w:szCs w:val="22"/>
          <w:highlight w:val="lightGray"/>
        </w:rPr>
      </w:pPr>
      <w:r>
        <w:rPr>
          <w:sz w:val="22"/>
          <w:szCs w:val="22"/>
        </w:rPr>
        <w:t>[</w:t>
      </w:r>
      <w:r>
        <w:rPr>
          <w:sz w:val="22"/>
          <w:szCs w:val="22"/>
          <w:highlight w:val="yellow"/>
        </w:rPr>
        <w:t>Optativo para los contratos de precio global:</w:t>
      </w:r>
      <w:r>
        <w:rPr>
          <w:sz w:val="22"/>
          <w:szCs w:val="22"/>
        </w:rPr>
        <w:t xml:space="preserve"> </w:t>
      </w:r>
      <w:r>
        <w:rPr>
          <w:sz w:val="22"/>
          <w:szCs w:val="22"/>
          <w:highlight w:val="lightGray"/>
        </w:rPr>
        <w:t>El anexo IV del proyecto de contrato contiene las plantillas que deben completar los licitadores, incluyendo:</w:t>
      </w:r>
    </w:p>
    <w:p w14:paraId="47D289C8" w14:textId="77777777" w:rsidR="003436FE" w:rsidRPr="002A75C6" w:rsidRDefault="003436FE" w:rsidP="003436FE">
      <w:pPr>
        <w:numPr>
          <w:ilvl w:val="0"/>
          <w:numId w:val="4"/>
        </w:numPr>
        <w:tabs>
          <w:tab w:val="clear" w:pos="360"/>
        </w:tabs>
        <w:spacing w:before="120" w:after="120"/>
        <w:ind w:left="993" w:hanging="425"/>
        <w:jc w:val="both"/>
        <w:rPr>
          <w:sz w:val="22"/>
          <w:szCs w:val="22"/>
          <w:highlight w:val="lightGray"/>
        </w:rPr>
      </w:pPr>
      <w:r>
        <w:rPr>
          <w:sz w:val="22"/>
          <w:szCs w:val="22"/>
          <w:highlight w:val="lightGray"/>
        </w:rPr>
        <w:t>lista de nombres y apellidos de los expertos principales;</w:t>
      </w:r>
    </w:p>
    <w:p w14:paraId="72FCA91A" w14:textId="77777777" w:rsidR="003436FE" w:rsidRPr="002A75C6" w:rsidRDefault="003436FE" w:rsidP="003436FE">
      <w:pPr>
        <w:numPr>
          <w:ilvl w:val="0"/>
          <w:numId w:val="4"/>
        </w:numPr>
        <w:tabs>
          <w:tab w:val="clear" w:pos="360"/>
        </w:tabs>
        <w:spacing w:before="120" w:after="120"/>
        <w:ind w:left="993" w:hanging="425"/>
        <w:jc w:val="both"/>
        <w:rPr>
          <w:sz w:val="22"/>
          <w:szCs w:val="22"/>
          <w:highlight w:val="lightGray"/>
        </w:rPr>
      </w:pPr>
      <w:r>
        <w:rPr>
          <w:sz w:val="22"/>
          <w:szCs w:val="22"/>
          <w:highlight w:val="lightGray"/>
        </w:rPr>
        <w:t>currículo de cada uno de los expertos principales;</w:t>
      </w:r>
      <w:r>
        <w:rPr>
          <w:b/>
          <w:sz w:val="22"/>
          <w:szCs w:val="22"/>
          <w:highlight w:val="lightGray"/>
        </w:rPr>
        <w:t xml:space="preserve"> </w:t>
      </w:r>
      <w:r>
        <w:rPr>
          <w:sz w:val="22"/>
          <w:szCs w:val="22"/>
          <w:highlight w:val="lightGray"/>
        </w:rPr>
        <w:t xml:space="preserve">los currículos no deberían tener una longitud superior a tres páginas; debe presentarse únicamente un currículo para cada puesto especificado en el Pliego de Condiciones. En caso de currículos de más de tres páginas, solo se tendrán en cuenta las tres primeras. El Comité de Evaluación solo tendrá en cuenta la experiencia profesional mencionada en el currículo. No son necesarios los currículos de los expertos que no sean principales. </w:t>
      </w:r>
    </w:p>
    <w:p w14:paraId="61F0366A" w14:textId="77777777" w:rsidR="00B31376" w:rsidRPr="002A75C6" w:rsidRDefault="003436FE" w:rsidP="00B31376">
      <w:pPr>
        <w:spacing w:before="120" w:after="120"/>
        <w:ind w:left="567"/>
        <w:jc w:val="both"/>
        <w:rPr>
          <w:sz w:val="22"/>
          <w:szCs w:val="22"/>
          <w:highlight w:val="lightGray"/>
        </w:rPr>
      </w:pPr>
      <w:r>
        <w:rPr>
          <w:sz w:val="22"/>
          <w:szCs w:val="22"/>
          <w:highlight w:val="lightGray"/>
        </w:rPr>
        <w:t>Las cualificaciones y la experiencia de cada uno de los expertos principales deben adaptarse claramente a los perfiles indicados en el Pliego de Condiciones. Si un experto no reúne los requisitos mínimos para cada criterio de evaluación (es decir, la cualificación y las competencias, la experiencia profesional general y la experiencia profesional específica), será rechazado. En tal caso, la totalidad de la oferta será desestimada.</w:t>
      </w:r>
    </w:p>
    <w:p w14:paraId="576476F8" w14:textId="77777777" w:rsidR="003436FE" w:rsidRPr="002A75C6" w:rsidRDefault="003436FE" w:rsidP="00010683">
      <w:pPr>
        <w:pStyle w:val="BodyTextIndent"/>
        <w:tabs>
          <w:tab w:val="clear" w:pos="567"/>
        </w:tabs>
        <w:spacing w:before="120"/>
        <w:ind w:firstLine="0"/>
        <w:rPr>
          <w:sz w:val="22"/>
          <w:szCs w:val="22"/>
          <w:highlight w:val="lightGray"/>
        </w:rPr>
      </w:pPr>
      <w:r>
        <w:rPr>
          <w:sz w:val="22"/>
          <w:szCs w:val="22"/>
          <w:highlight w:val="lightGray"/>
        </w:rPr>
        <w:t>El licitador debe presentar, asimismo, los siguientes documentos en relación con los expertos propuestos:</w:t>
      </w:r>
    </w:p>
    <w:p w14:paraId="4434E89A" w14:textId="77777777" w:rsidR="003436FE" w:rsidRPr="002A75C6" w:rsidRDefault="003436FE" w:rsidP="003436FE">
      <w:pPr>
        <w:pStyle w:val="BodyTextIndent"/>
        <w:tabs>
          <w:tab w:val="clear" w:pos="567"/>
        </w:tabs>
        <w:spacing w:before="120"/>
        <w:ind w:left="851" w:hanging="142"/>
        <w:rPr>
          <w:sz w:val="22"/>
          <w:szCs w:val="22"/>
          <w:highlight w:val="lightGray"/>
        </w:rPr>
      </w:pPr>
      <w:r>
        <w:rPr>
          <w:sz w:val="22"/>
          <w:szCs w:val="22"/>
          <w:highlight w:val="lightGray"/>
        </w:rPr>
        <w:t>-</w:t>
      </w:r>
      <w:r>
        <w:rPr>
          <w:sz w:val="22"/>
          <w:szCs w:val="22"/>
          <w:highlight w:val="lightGray"/>
        </w:rPr>
        <w:tab/>
        <w:t>copia de las titulaciones mencionadas en sus currículos;</w:t>
      </w:r>
    </w:p>
    <w:p w14:paraId="3CCC33FD" w14:textId="77777777" w:rsidR="003436FE" w:rsidRPr="002A75C6" w:rsidRDefault="003436FE" w:rsidP="003436FE">
      <w:pPr>
        <w:pStyle w:val="BodyTextIndent"/>
        <w:tabs>
          <w:tab w:val="clear" w:pos="567"/>
        </w:tabs>
        <w:spacing w:before="120"/>
        <w:ind w:left="851" w:hanging="142"/>
        <w:rPr>
          <w:sz w:val="22"/>
          <w:szCs w:val="22"/>
          <w:highlight w:val="lightGray"/>
        </w:rPr>
      </w:pPr>
      <w:r>
        <w:rPr>
          <w:sz w:val="22"/>
          <w:szCs w:val="22"/>
          <w:highlight w:val="lightGray"/>
        </w:rPr>
        <w:t>-</w:t>
      </w:r>
      <w:r>
        <w:rPr>
          <w:sz w:val="22"/>
          <w:szCs w:val="22"/>
          <w:highlight w:val="lightGray"/>
        </w:rPr>
        <w:tab/>
        <w:t>copia de certificados o referencias de las empresas para las que hayan trabajado, o copias firmadas de los contratos de trabajo o consultoría, que prueben la experiencia profesional indicada en sus currículos. La admisibilidad de cualquier otro documento que acredite la experiencia profesional indicada en el currículo estará sujeta a la discreción del Órgano de Contratación.</w:t>
      </w:r>
    </w:p>
    <w:p w14:paraId="00F334CD" w14:textId="77777777" w:rsidR="006C13E7" w:rsidRDefault="003436FE" w:rsidP="003352E7">
      <w:pPr>
        <w:pStyle w:val="BodyTextIndent"/>
        <w:tabs>
          <w:tab w:val="clear" w:pos="567"/>
        </w:tabs>
        <w:spacing w:before="120"/>
        <w:ind w:left="709" w:firstLine="0"/>
        <w:rPr>
          <w:sz w:val="22"/>
          <w:szCs w:val="22"/>
        </w:rPr>
      </w:pPr>
      <w:r>
        <w:rPr>
          <w:sz w:val="22"/>
          <w:szCs w:val="22"/>
          <w:highlight w:val="lightGray"/>
        </w:rPr>
        <w:t xml:space="preserve">Solo se tendrán en cuenta los títulos y la experiencia probados documentalmente (es decir, no se tendrán en cuenta las autodeclaraciones de los expertos). No se utilizará </w:t>
      </w:r>
      <w:r>
        <w:rPr>
          <w:sz w:val="22"/>
          <w:szCs w:val="22"/>
          <w:highlight w:val="lightGray"/>
        </w:rPr>
        <w:lastRenderedPageBreak/>
        <w:t>como referencia la experiencia anterior que haya ocasionado el incumplimiento y la resolución de un contrato.]</w:t>
      </w:r>
      <w:r>
        <w:rPr>
          <w:sz w:val="22"/>
          <w:szCs w:val="22"/>
        </w:rPr>
        <w:t xml:space="preserve"> </w:t>
      </w:r>
    </w:p>
    <w:p w14:paraId="0D3D3F51" w14:textId="15603E66" w:rsidR="00396D4A" w:rsidRPr="002B370E" w:rsidRDefault="00396D4A" w:rsidP="00632671">
      <w:pPr>
        <w:pStyle w:val="BodyTextIndent"/>
        <w:spacing w:before="120"/>
        <w:rPr>
          <w:sz w:val="22"/>
          <w:szCs w:val="22"/>
        </w:rPr>
      </w:pPr>
      <w:r>
        <w:rPr>
          <w:sz w:val="22"/>
          <w:szCs w:val="22"/>
        </w:rPr>
        <w:t>4)</w:t>
      </w:r>
      <w:r>
        <w:rPr>
          <w:sz w:val="22"/>
          <w:szCs w:val="22"/>
        </w:rPr>
        <w:tab/>
        <w:t>Los expertos no principales también pueden ser decisivos para lograr los objetivos del contrato. Sin embargo, no son evaluados por el Comité de Evaluación. Sus funciones y responsabilidades pueden definirse en la sección 6.1.2 del Pliego de Condiciones en el anexo II del proyecto de contrato.</w:t>
      </w:r>
    </w:p>
    <w:p w14:paraId="01B2CBAA" w14:textId="4543C074" w:rsidR="003436FE" w:rsidRPr="002B370E" w:rsidRDefault="00010683" w:rsidP="003436FE">
      <w:pPr>
        <w:pStyle w:val="BodyTextIndent"/>
        <w:tabs>
          <w:tab w:val="clear" w:pos="567"/>
        </w:tabs>
        <w:spacing w:before="120"/>
        <w:rPr>
          <w:sz w:val="22"/>
          <w:szCs w:val="22"/>
        </w:rPr>
      </w:pPr>
      <w:r>
        <w:rPr>
          <w:sz w:val="22"/>
          <w:szCs w:val="22"/>
        </w:rPr>
        <w:t>5)</w:t>
      </w:r>
      <w:r>
        <w:rPr>
          <w:sz w:val="22"/>
          <w:szCs w:val="22"/>
        </w:rPr>
        <w:tab/>
      </w:r>
      <w:r>
        <w:rPr>
          <w:b/>
          <w:sz w:val="22"/>
          <w:szCs w:val="22"/>
        </w:rPr>
        <w:t>Documentos que el licitador debe conservar y presentar previa solicitud (véase el párrafo introductorio en el punto 4.1):</w:t>
      </w:r>
      <w:r>
        <w:rPr>
          <w:sz w:val="22"/>
          <w:szCs w:val="22"/>
        </w:rPr>
        <w:t xml:space="preserve"> Pruebas documentales o las declaraciones prescritas por la ley aplicable del país en el que la empresa (o cada una de las empresas, en caso de consorcios), los subcontratistas y las entidades suministradoras de capacidad estén efectivamente establecidos, para demostrar que no incurren en ninguno de los supuestos de exclusión mencionados en el apartado 2.6.10.1 de la Guía Práctica. Estas pruebas, documentos o declaraciones deben estar fechadas no más de un año antes de la fecha de presentación de la oferta. Además, se deberá aportar una declaración en la cual se afirme que las situaciones descritas en estos documentos n</w:t>
      </w:r>
      <w:r w:rsidR="006152C2">
        <w:rPr>
          <w:sz w:val="22"/>
          <w:szCs w:val="22"/>
        </w:rPr>
        <w:t>o han cambiado desde entonces.</w:t>
      </w:r>
    </w:p>
    <w:p w14:paraId="433BF171" w14:textId="77777777" w:rsidR="003436FE" w:rsidRPr="002B370E" w:rsidRDefault="003436FE" w:rsidP="003436FE">
      <w:pPr>
        <w:pStyle w:val="BodyTextIndent"/>
        <w:keepNext/>
        <w:keepLines/>
        <w:tabs>
          <w:tab w:val="clear" w:pos="567"/>
        </w:tabs>
        <w:spacing w:before="120"/>
        <w:ind w:firstLine="0"/>
        <w:rPr>
          <w:sz w:val="22"/>
          <w:szCs w:val="22"/>
        </w:rPr>
      </w:pPr>
      <w:r>
        <w:rPr>
          <w:sz w:val="22"/>
          <w:szCs w:val="22"/>
        </w:rPr>
        <w:t>Si por su naturaleza la entidad no puede encontrarse en alguna de las situaciones de exclusión o no puede facilitar los documentos indicados anteriormente (por ejemplo, las Administraciones públicas nacionales y las organizaciones internacionales), preséntese una declaración que explique esta situación.</w:t>
      </w:r>
    </w:p>
    <w:p w14:paraId="6DAA527B" w14:textId="744F14E3" w:rsidR="003436FE" w:rsidRPr="002B370E" w:rsidRDefault="003436FE" w:rsidP="003121C6">
      <w:pPr>
        <w:spacing w:before="120" w:after="120"/>
        <w:ind w:left="567"/>
        <w:jc w:val="both"/>
        <w:rPr>
          <w:sz w:val="22"/>
          <w:szCs w:val="22"/>
        </w:rPr>
      </w:pPr>
      <w:r>
        <w:rPr>
          <w:color w:val="000000"/>
          <w:sz w:val="22"/>
          <w:szCs w:val="22"/>
        </w:rPr>
        <w:t>El Órgano de Contratación puede eximir de la obligación que tiene cualquier licitador de presentar la prueba documental mencionada anteriormente si ya le ha sido presentada tal prueba a efectos de otro procedimiento de licitación y siempre que la fecha de expedición de los documentos no tenga una antigüedad superior a un año y estos sigan siendo válidos. En tal caso, el licitador deberá realizar una declaración jurada de que las pruebas documentales ya han sido facilitadas en un procedimiento de licitación anterior y de que no se ha producido cambio alguno en su situación.</w:t>
      </w:r>
    </w:p>
    <w:p w14:paraId="3A2B2A5A" w14:textId="50DBFCFB" w:rsidR="003121C6" w:rsidRPr="003121C6" w:rsidRDefault="003121C6">
      <w:pPr>
        <w:spacing w:before="120" w:after="120"/>
        <w:ind w:left="567" w:hanging="567"/>
        <w:jc w:val="both"/>
        <w:rPr>
          <w:color w:val="000000"/>
          <w:sz w:val="22"/>
          <w:szCs w:val="22"/>
        </w:rPr>
      </w:pPr>
      <w:r>
        <w:rPr>
          <w:color w:val="000000"/>
          <w:sz w:val="22"/>
          <w:szCs w:val="22"/>
        </w:rPr>
        <w:t>6)</w:t>
      </w:r>
      <w:r>
        <w:rPr>
          <w:color w:val="000000"/>
          <w:sz w:val="22"/>
          <w:szCs w:val="22"/>
        </w:rPr>
        <w:tab/>
      </w:r>
      <w:r>
        <w:rPr>
          <w:b/>
          <w:sz w:val="22"/>
          <w:szCs w:val="22"/>
        </w:rPr>
        <w:t>Documentos que el licitador debe conservar y presentar previa solicitud (véase el párrafo introductorio en el punto 4.1):</w:t>
      </w:r>
      <w:r>
        <w:rPr>
          <w:sz w:val="22"/>
          <w:szCs w:val="22"/>
        </w:rPr>
        <w:t xml:space="preserve"> Prueba documental de la capacidad financiera y económica, así como de la capacidad profesional y técnica de acuerdo con los criterios de selección especificados en el anuncio de contrato o en el anexo con información adicional sobre el anuncio de contrato (véase asimismo el apartado 2.6.11 de la Guía Práctica).</w:t>
      </w:r>
      <w:r>
        <w:rPr>
          <w:color w:val="000000"/>
          <w:sz w:val="22"/>
          <w:szCs w:val="22"/>
        </w:rPr>
        <w:t xml:space="preserve"> Por lo que se refiere a los criterios técnicos de selección, solo se le pedirá que presente pruebas documentales relativas a las referencias en virtud de las cuales fue preseleccionado. </w:t>
      </w:r>
    </w:p>
    <w:p w14:paraId="2504874E" w14:textId="77777777" w:rsidR="003121C6" w:rsidRDefault="003121C6" w:rsidP="003436FE">
      <w:pPr>
        <w:spacing w:before="120" w:after="120"/>
        <w:jc w:val="both"/>
        <w:rPr>
          <w:sz w:val="22"/>
          <w:szCs w:val="22"/>
        </w:rPr>
      </w:pPr>
      <w:r>
        <w:rPr>
          <w:sz w:val="22"/>
          <w:szCs w:val="22"/>
        </w:rPr>
        <w:t>Si las pruebas documentales están redactadas en una lengua oficial de la Unión Europea que no es la del procedimiento, se recomienda encarecidamente adjuntar una traducción a la lengua del procedimiento para facilitar la evaluación de los documentos. Las pruebas documentales o las declaraciones podrán ser originales o copias. De presentarse copias, los originales deberán estar disponibles para enviarse al Órgano de Contratación si los solicita.</w:t>
      </w:r>
    </w:p>
    <w:p w14:paraId="39C76F30" w14:textId="77777777" w:rsidR="003436FE" w:rsidRPr="002B370E" w:rsidRDefault="003436FE" w:rsidP="003436FE">
      <w:pPr>
        <w:spacing w:before="120" w:after="120"/>
        <w:jc w:val="both"/>
        <w:rPr>
          <w:sz w:val="22"/>
          <w:szCs w:val="22"/>
        </w:rPr>
      </w:pPr>
      <w:r>
        <w:rPr>
          <w:sz w:val="22"/>
          <w:szCs w:val="22"/>
        </w:rPr>
        <w:t>Se recuerda a los licitadores que la aportación de información falsa en la presente licitación puede acarrear el rechazo de su oferta y su exclusión de los procedimientos y contratos financiados por la UE.</w:t>
      </w:r>
    </w:p>
    <w:p w14:paraId="6B9276AD" w14:textId="77777777" w:rsidR="003436FE" w:rsidRPr="002B370E" w:rsidRDefault="003436FE" w:rsidP="00010683">
      <w:pPr>
        <w:keepNext/>
        <w:spacing w:before="120" w:after="120"/>
        <w:ind w:left="567" w:hanging="567"/>
        <w:jc w:val="both"/>
        <w:rPr>
          <w:b/>
          <w:sz w:val="22"/>
          <w:szCs w:val="22"/>
        </w:rPr>
      </w:pPr>
      <w:r>
        <w:rPr>
          <w:b/>
          <w:sz w:val="22"/>
          <w:szCs w:val="22"/>
        </w:rPr>
        <w:t>4.2.</w:t>
      </w:r>
      <w:r>
        <w:rPr>
          <w:b/>
          <w:sz w:val="22"/>
          <w:szCs w:val="22"/>
        </w:rPr>
        <w:tab/>
        <w:t>Oferta financiera</w:t>
      </w:r>
    </w:p>
    <w:p w14:paraId="6CDFAB5A" w14:textId="77777777" w:rsidR="003436FE" w:rsidRPr="002B370E" w:rsidRDefault="003436FE" w:rsidP="003436FE">
      <w:pPr>
        <w:shd w:val="clear" w:color="auto" w:fill="FFFFFF"/>
        <w:spacing w:before="120" w:after="120"/>
        <w:jc w:val="both"/>
        <w:rPr>
          <w:sz w:val="22"/>
          <w:szCs w:val="22"/>
        </w:rPr>
      </w:pPr>
      <w:r>
        <w:rPr>
          <w:sz w:val="22"/>
          <w:szCs w:val="22"/>
        </w:rPr>
        <w:t>[</w:t>
      </w:r>
      <w:r>
        <w:rPr>
          <w:sz w:val="22"/>
          <w:szCs w:val="22"/>
          <w:highlight w:val="yellow"/>
        </w:rPr>
        <w:t>Para contratos de precio global</w:t>
      </w:r>
      <w:r>
        <w:rPr>
          <w:i/>
          <w:sz w:val="22"/>
          <w:szCs w:val="22"/>
          <w:highlight w:val="yellow"/>
        </w:rPr>
        <w:t>:</w:t>
      </w:r>
    </w:p>
    <w:p w14:paraId="0FCDFBA5" w14:textId="4C44D5ED" w:rsidR="004250B3" w:rsidRPr="002A75C6" w:rsidRDefault="003436FE" w:rsidP="003436FE">
      <w:pPr>
        <w:shd w:val="clear" w:color="auto" w:fill="FFFFFF"/>
        <w:spacing w:before="120" w:after="120"/>
        <w:jc w:val="both"/>
        <w:rPr>
          <w:sz w:val="22"/>
          <w:szCs w:val="22"/>
          <w:highlight w:val="lightGray"/>
        </w:rPr>
      </w:pPr>
      <w:r>
        <w:rPr>
          <w:sz w:val="22"/>
          <w:szCs w:val="22"/>
          <w:highlight w:val="lightGray"/>
        </w:rPr>
        <w:lastRenderedPageBreak/>
        <w:t>La oferta financiera debe presentarse en [</w:t>
      </w:r>
      <w:r>
        <w:rPr>
          <w:sz w:val="22"/>
          <w:szCs w:val="22"/>
          <w:highlight w:val="yellow"/>
        </w:rPr>
        <w:t>EUR</w:t>
      </w:r>
      <w:r>
        <w:rPr>
          <w:sz w:val="22"/>
          <w:szCs w:val="22"/>
          <w:highlight w:val="lightGray"/>
        </w:rPr>
        <w:t>] [&lt;</w:t>
      </w:r>
      <w:r>
        <w:rPr>
          <w:sz w:val="22"/>
          <w:szCs w:val="22"/>
          <w:highlight w:val="yellow"/>
        </w:rPr>
        <w:t>código ISO de la moneda nacional</w:t>
      </w:r>
      <w:r>
        <w:rPr>
          <w:sz w:val="22"/>
          <w:szCs w:val="22"/>
          <w:highlight w:val="lightGray"/>
        </w:rPr>
        <w:t xml:space="preserve">&gt; </w:t>
      </w:r>
      <w:r>
        <w:rPr>
          <w:sz w:val="22"/>
          <w:szCs w:val="22"/>
          <w:highlight w:val="yellow"/>
        </w:rPr>
        <w:t xml:space="preserve">únicamente en casos de gestión indirecta y en los siguientes casos: i) cuando por imposiciones locales o legales sea preciso, excepcionalmente, utilizar la moneda nacional; </w:t>
      </w:r>
      <w:proofErr w:type="spellStart"/>
      <w:r>
        <w:rPr>
          <w:sz w:val="22"/>
          <w:szCs w:val="22"/>
          <w:highlight w:val="yellow"/>
        </w:rPr>
        <w:t>ii</w:t>
      </w:r>
      <w:proofErr w:type="spellEnd"/>
      <w:r>
        <w:rPr>
          <w:sz w:val="22"/>
          <w:szCs w:val="22"/>
          <w:highlight w:val="yellow"/>
        </w:rPr>
        <w:t>) en su caso, para los contratos en el marco del componente de anticipos de un presupuesto-programa]</w:t>
      </w:r>
      <w:r w:rsidRPr="002A75C6">
        <w:rPr>
          <w:rStyle w:val="FootnoteReference"/>
          <w:highlight w:val="lightGray"/>
        </w:rPr>
        <w:footnoteReference w:id="1"/>
      </w:r>
      <w:r>
        <w:rPr>
          <w:sz w:val="22"/>
          <w:szCs w:val="22"/>
          <w:highlight w:val="lightGray"/>
        </w:rPr>
        <w:t xml:space="preserve"> y utilizando la plantilla correspondiente a la versión de precio global que figura en el anexo V de la parte B del presente expediente de licitación. La versión electrónica del documento «B8 – Desglose presupuestario para un contrato de precio global» puede encontrarse en el sitio web:</w:t>
      </w:r>
    </w:p>
    <w:p w14:paraId="13CD9B69" w14:textId="07CFB5A6" w:rsidR="00C40708" w:rsidRPr="002A75C6" w:rsidRDefault="00844B94" w:rsidP="00A10CF4">
      <w:pPr>
        <w:shd w:val="clear" w:color="auto" w:fill="FFFFFF"/>
        <w:spacing w:before="120" w:after="120"/>
        <w:jc w:val="both"/>
        <w:rPr>
          <w:sz w:val="22"/>
          <w:szCs w:val="22"/>
          <w:highlight w:val="lightGray"/>
        </w:rPr>
      </w:pPr>
      <w:hyperlink r:id="rId9" w:anchor="Anexos-AnexosB(Ch.3):Contratosdeservicios" w:history="1">
        <w:r w:rsidR="002C565F" w:rsidRPr="00A10CF4">
          <w:rPr>
            <w:rStyle w:val="Hyperlink"/>
            <w:sz w:val="22"/>
            <w:szCs w:val="22"/>
            <w:highlight w:val="lightGray"/>
          </w:rPr>
          <w:t>https://wikis.ec.europa.eu/display/ExactExternalWikiES/Anexos#Anexos-AnexosB(Ch.3):Contratosdeservicios</w:t>
        </w:r>
      </w:hyperlink>
      <w:r w:rsidR="001D7DF6">
        <w:rPr>
          <w:sz w:val="22"/>
          <w:szCs w:val="22"/>
          <w:highlight w:val="lightGray"/>
        </w:rPr>
        <w:t>.</w:t>
      </w:r>
    </w:p>
    <w:p w14:paraId="51CFB4F4" w14:textId="77777777" w:rsidR="003436FE" w:rsidRPr="002B370E" w:rsidRDefault="003436FE" w:rsidP="003436FE">
      <w:pPr>
        <w:shd w:val="clear" w:color="auto" w:fill="FFFFFF"/>
        <w:spacing w:before="120" w:after="120"/>
        <w:jc w:val="both"/>
        <w:rPr>
          <w:sz w:val="22"/>
          <w:szCs w:val="22"/>
        </w:rPr>
      </w:pPr>
      <w:r>
        <w:rPr>
          <w:sz w:val="22"/>
          <w:szCs w:val="22"/>
          <w:highlight w:val="lightGray"/>
        </w:rPr>
        <w:t>El precio global podrá desglosarse por resultados si así lo exige el Pliego de Condiciones.]</w:t>
      </w:r>
    </w:p>
    <w:p w14:paraId="285DDC1E" w14:textId="77777777" w:rsidR="003436FE" w:rsidRPr="002B370E" w:rsidRDefault="003436FE" w:rsidP="003436FE">
      <w:pPr>
        <w:shd w:val="clear" w:color="auto" w:fill="FFFFFF"/>
        <w:spacing w:before="120" w:after="120"/>
        <w:jc w:val="both"/>
        <w:rPr>
          <w:sz w:val="22"/>
          <w:szCs w:val="22"/>
        </w:rPr>
      </w:pPr>
      <w:r>
        <w:rPr>
          <w:sz w:val="22"/>
          <w:szCs w:val="22"/>
        </w:rPr>
        <w:t>[</w:t>
      </w:r>
      <w:r>
        <w:rPr>
          <w:sz w:val="22"/>
          <w:szCs w:val="22"/>
          <w:highlight w:val="yellow"/>
        </w:rPr>
        <w:t>Para los contratos basados en honorarios</w:t>
      </w:r>
      <w:r>
        <w:rPr>
          <w:i/>
          <w:sz w:val="22"/>
          <w:szCs w:val="22"/>
          <w:highlight w:val="yellow"/>
        </w:rPr>
        <w:t>:</w:t>
      </w:r>
    </w:p>
    <w:p w14:paraId="33D23ED2" w14:textId="46785EE5" w:rsidR="00DB30DE" w:rsidRPr="002A75C6" w:rsidRDefault="003436FE" w:rsidP="00DB30DE">
      <w:pPr>
        <w:shd w:val="clear" w:color="auto" w:fill="FFFFFF"/>
        <w:spacing w:before="120" w:after="120"/>
        <w:jc w:val="both"/>
        <w:rPr>
          <w:sz w:val="22"/>
          <w:szCs w:val="22"/>
          <w:highlight w:val="lightGray"/>
        </w:rPr>
      </w:pPr>
      <w:r>
        <w:rPr>
          <w:sz w:val="22"/>
          <w:szCs w:val="22"/>
          <w:highlight w:val="lightGray"/>
        </w:rPr>
        <w:t>La oferta financiera debe presentarse en [EUR] [&lt;</w:t>
      </w:r>
      <w:r>
        <w:rPr>
          <w:sz w:val="22"/>
          <w:szCs w:val="22"/>
          <w:highlight w:val="yellow"/>
        </w:rPr>
        <w:t>código ISO de la moneda nacional</w:t>
      </w:r>
      <w:r>
        <w:rPr>
          <w:sz w:val="22"/>
          <w:szCs w:val="22"/>
          <w:highlight w:val="lightGray"/>
        </w:rPr>
        <w:t xml:space="preserve">&gt; </w:t>
      </w:r>
      <w:r>
        <w:rPr>
          <w:sz w:val="22"/>
          <w:szCs w:val="22"/>
          <w:highlight w:val="yellow"/>
        </w:rPr>
        <w:t xml:space="preserve">únicamente en casos de gestión indirecta, y en las siguientes circunstancias: i) cuando por imposiciones locales o legales sea preciso, excepcionalmente, utilizar la moneda nacional; </w:t>
      </w:r>
      <w:proofErr w:type="spellStart"/>
      <w:r>
        <w:rPr>
          <w:sz w:val="22"/>
          <w:szCs w:val="22"/>
          <w:highlight w:val="yellow"/>
        </w:rPr>
        <w:t>ii</w:t>
      </w:r>
      <w:proofErr w:type="spellEnd"/>
      <w:r>
        <w:rPr>
          <w:sz w:val="22"/>
          <w:szCs w:val="22"/>
          <w:highlight w:val="yellow"/>
        </w:rPr>
        <w:t>) en su caso, para los contratos en el marco del componente de anticipos de un presupuesto programa]</w:t>
      </w:r>
      <w:r>
        <w:rPr>
          <w:sz w:val="22"/>
          <w:szCs w:val="22"/>
          <w:vertAlign w:val="superscript"/>
        </w:rPr>
        <w:t>1</w:t>
      </w:r>
      <w:r>
        <w:rPr>
          <w:sz w:val="22"/>
          <w:szCs w:val="22"/>
          <w:highlight w:val="lightGray"/>
        </w:rPr>
        <w:t xml:space="preserve"> y debe incluir los documentos siguientes (utilizando las plantillas correspondientes a la versión basada en honorarios que figura en el anexo V de la parte B del presente expediente de licitación. </w:t>
      </w:r>
      <w:r>
        <w:rPr>
          <w:highlight w:val="lightGray"/>
        </w:rPr>
        <w:t xml:space="preserve">La versión electrónica del documento «B8 - </w:t>
      </w:r>
      <w:hyperlink r:id="rId10" w:tooltip=" Desglose presupuestario para un contrato basado en honorarios" w:history="1">
        <w:r>
          <w:rPr>
            <w:color w:val="000000"/>
            <w:sz w:val="22"/>
            <w:szCs w:val="22"/>
            <w:highlight w:val="lightGray"/>
          </w:rPr>
          <w:t>Desglose presupuestario para un contrato basado en honorarios»</w:t>
        </w:r>
      </w:hyperlink>
      <w:r>
        <w:rPr>
          <w:sz w:val="22"/>
          <w:szCs w:val="22"/>
          <w:highlight w:val="lightGray"/>
        </w:rPr>
        <w:t xml:space="preserve"> puede encontrarse en el sitio web: </w:t>
      </w:r>
      <w:hyperlink r:id="rId11" w:anchor="Anexos-AnexosB(Ch.3):Contratosdeservicios" w:history="1">
        <w:r w:rsidR="002C565F" w:rsidRPr="00085F08">
          <w:rPr>
            <w:rStyle w:val="Hyperlink"/>
            <w:sz w:val="22"/>
            <w:szCs w:val="22"/>
            <w:highlight w:val="lightGray"/>
          </w:rPr>
          <w:t>https://wikis.ec.europa.eu/display/ExactExternalWikiES/Anexos#Anexos-AnexosB(Ch.3):Contratosdeservicios</w:t>
        </w:r>
      </w:hyperlink>
      <w:r>
        <w:rPr>
          <w:sz w:val="22"/>
          <w:szCs w:val="22"/>
          <w:highlight w:val="lightGray"/>
        </w:rPr>
        <w:t>.</w:t>
      </w:r>
    </w:p>
    <w:p w14:paraId="23C0C28D" w14:textId="77777777" w:rsidR="003436FE" w:rsidRPr="002A75C6" w:rsidRDefault="003436FE" w:rsidP="003436FE">
      <w:pPr>
        <w:numPr>
          <w:ilvl w:val="0"/>
          <w:numId w:val="37"/>
        </w:numPr>
        <w:shd w:val="clear" w:color="auto" w:fill="FFFFFF"/>
        <w:tabs>
          <w:tab w:val="clear" w:pos="360"/>
        </w:tabs>
        <w:spacing w:before="120" w:after="120"/>
        <w:ind w:left="426" w:hanging="426"/>
        <w:jc w:val="both"/>
        <w:rPr>
          <w:sz w:val="22"/>
          <w:szCs w:val="22"/>
          <w:highlight w:val="lightGray"/>
        </w:rPr>
      </w:pPr>
      <w:r>
        <w:rPr>
          <w:sz w:val="22"/>
          <w:szCs w:val="22"/>
          <w:highlight w:val="lightGray"/>
        </w:rPr>
        <w:t>Desglose presupuestario</w:t>
      </w:r>
    </w:p>
    <w:p w14:paraId="34F460E8" w14:textId="77777777" w:rsidR="003436FE" w:rsidRPr="0050118C" w:rsidRDefault="003436FE" w:rsidP="003436FE">
      <w:pPr>
        <w:numPr>
          <w:ilvl w:val="0"/>
          <w:numId w:val="37"/>
        </w:numPr>
        <w:shd w:val="clear" w:color="auto" w:fill="FFFFFF"/>
        <w:tabs>
          <w:tab w:val="clear" w:pos="360"/>
        </w:tabs>
        <w:spacing w:before="120" w:after="120"/>
        <w:ind w:left="426" w:hanging="426"/>
        <w:jc w:val="both"/>
        <w:rPr>
          <w:sz w:val="22"/>
          <w:szCs w:val="22"/>
        </w:rPr>
      </w:pPr>
      <w:r>
        <w:rPr>
          <w:sz w:val="22"/>
          <w:szCs w:val="22"/>
          <w:highlight w:val="lightGray"/>
        </w:rPr>
        <w:t>Días laborables</w:t>
      </w:r>
    </w:p>
    <w:p w14:paraId="1E367B46" w14:textId="77777777" w:rsidR="003436FE" w:rsidRPr="002A75C6" w:rsidRDefault="003436FE" w:rsidP="003436FE">
      <w:pPr>
        <w:shd w:val="clear" w:color="auto" w:fill="FFFFFF"/>
        <w:spacing w:before="120" w:after="120"/>
        <w:jc w:val="both"/>
        <w:rPr>
          <w:b/>
          <w:sz w:val="22"/>
          <w:szCs w:val="22"/>
          <w:highlight w:val="lightGray"/>
        </w:rPr>
      </w:pPr>
      <w:r>
        <w:rPr>
          <w:b/>
          <w:sz w:val="22"/>
          <w:szCs w:val="22"/>
          <w:highlight w:val="lightGray"/>
        </w:rPr>
        <w:t>Para rellenar las hojas de cálculo:</w:t>
      </w:r>
    </w:p>
    <w:p w14:paraId="2B2401D9" w14:textId="77777777" w:rsidR="003436FE" w:rsidRPr="002A75C6" w:rsidRDefault="003436FE" w:rsidP="003436FE">
      <w:pPr>
        <w:numPr>
          <w:ilvl w:val="0"/>
          <w:numId w:val="38"/>
        </w:numPr>
        <w:shd w:val="clear" w:color="auto" w:fill="FFFFFF"/>
        <w:spacing w:before="120" w:after="120"/>
        <w:ind w:left="426" w:hanging="426"/>
        <w:jc w:val="both"/>
        <w:rPr>
          <w:sz w:val="22"/>
          <w:szCs w:val="22"/>
          <w:highlight w:val="lightGray"/>
        </w:rPr>
      </w:pPr>
      <w:r>
        <w:rPr>
          <w:sz w:val="22"/>
          <w:szCs w:val="22"/>
          <w:highlight w:val="lightGray"/>
        </w:rPr>
        <w:t>Introducir los honorarios correspondientes a cada categoría de expertos en la primera hoja de cálculo («Desglose presupuestario»)</w:t>
      </w:r>
    </w:p>
    <w:p w14:paraId="1F67BE5F" w14:textId="77777777" w:rsidR="003436FE" w:rsidRPr="002A75C6" w:rsidRDefault="003436FE" w:rsidP="003436FE">
      <w:pPr>
        <w:numPr>
          <w:ilvl w:val="0"/>
          <w:numId w:val="38"/>
        </w:numPr>
        <w:shd w:val="clear" w:color="auto" w:fill="FFFFFF"/>
        <w:spacing w:before="120" w:after="120"/>
        <w:ind w:left="426" w:hanging="426"/>
        <w:jc w:val="both"/>
        <w:rPr>
          <w:sz w:val="22"/>
          <w:szCs w:val="22"/>
          <w:highlight w:val="lightGray"/>
        </w:rPr>
      </w:pPr>
      <w:r>
        <w:rPr>
          <w:sz w:val="22"/>
          <w:szCs w:val="22"/>
          <w:highlight w:val="lightGray"/>
        </w:rPr>
        <w:t>Introducir el número estimado de días de trabajo correspondientes a cada categoría de expertos durante el período de implementación de las prestaciones en la segunda hoja de cálculo («Días de trabajo»)</w:t>
      </w:r>
    </w:p>
    <w:p w14:paraId="69FF0280" w14:textId="77777777" w:rsidR="00517439" w:rsidRPr="002A75C6" w:rsidRDefault="00517439" w:rsidP="003436FE">
      <w:pPr>
        <w:numPr>
          <w:ilvl w:val="0"/>
          <w:numId w:val="38"/>
        </w:numPr>
        <w:shd w:val="clear" w:color="auto" w:fill="FFFFFF"/>
        <w:spacing w:before="120" w:after="120"/>
        <w:ind w:left="426" w:hanging="426"/>
        <w:jc w:val="both"/>
        <w:rPr>
          <w:sz w:val="22"/>
          <w:szCs w:val="22"/>
          <w:highlight w:val="lightGray"/>
        </w:rPr>
      </w:pPr>
      <w:r>
        <w:rPr>
          <w:sz w:val="22"/>
          <w:szCs w:val="22"/>
          <w:highlight w:val="lightGray"/>
        </w:rPr>
        <w:t>Introducir las cantidades a tanto alzado propuestas para las partidas requeridas en la sección 6.6 del Pliego de Condiciones en la primera hoja de cálculo («Desglose presupuestario»), si las hubiera</w:t>
      </w:r>
    </w:p>
    <w:p w14:paraId="770FC6FB" w14:textId="77777777" w:rsidR="003436FE" w:rsidRPr="002A75C6" w:rsidRDefault="003436FE" w:rsidP="003436FE">
      <w:pPr>
        <w:numPr>
          <w:ilvl w:val="0"/>
          <w:numId w:val="38"/>
        </w:numPr>
        <w:shd w:val="clear" w:color="auto" w:fill="FFFFFF"/>
        <w:spacing w:before="120" w:after="120"/>
        <w:ind w:left="426" w:hanging="426"/>
        <w:jc w:val="both"/>
        <w:rPr>
          <w:sz w:val="22"/>
          <w:szCs w:val="22"/>
          <w:highlight w:val="lightGray"/>
        </w:rPr>
      </w:pPr>
      <w:r>
        <w:rPr>
          <w:sz w:val="22"/>
          <w:szCs w:val="22"/>
          <w:highlight w:val="lightGray"/>
        </w:rPr>
        <w:t>Introducir la provisión para gastos imprevistos indicada en la sección 6.5 del Pliego de Condiciones en la primera hoja de cálculo («Desglose presupuestario»).</w:t>
      </w:r>
    </w:p>
    <w:p w14:paraId="33518D43" w14:textId="77777777" w:rsidR="003436FE" w:rsidRPr="002A75C6" w:rsidRDefault="003436FE" w:rsidP="003436FE">
      <w:pPr>
        <w:numPr>
          <w:ilvl w:val="0"/>
          <w:numId w:val="38"/>
        </w:numPr>
        <w:shd w:val="clear" w:color="auto" w:fill="FFFFFF"/>
        <w:spacing w:before="120" w:after="120"/>
        <w:ind w:left="426" w:hanging="426"/>
        <w:jc w:val="both"/>
        <w:rPr>
          <w:sz w:val="22"/>
          <w:szCs w:val="22"/>
          <w:highlight w:val="lightGray"/>
        </w:rPr>
      </w:pPr>
      <w:r>
        <w:rPr>
          <w:sz w:val="22"/>
          <w:szCs w:val="22"/>
          <w:highlight w:val="lightGray"/>
        </w:rPr>
        <w:t>Introducir la provisión para la comprobación de gastos indicada en la sección 6.7 del Pliego de Condiciones en la primera hoja de cálculo («Desglose presupuestario»)</w:t>
      </w:r>
    </w:p>
    <w:p w14:paraId="5AA50367" w14:textId="77777777" w:rsidR="003436FE" w:rsidRPr="002A75C6" w:rsidRDefault="003436FE" w:rsidP="003436FE">
      <w:pPr>
        <w:shd w:val="clear" w:color="auto" w:fill="FFFFFF"/>
        <w:spacing w:before="120" w:after="120"/>
        <w:jc w:val="both"/>
        <w:rPr>
          <w:sz w:val="22"/>
          <w:szCs w:val="22"/>
          <w:highlight w:val="lightGray"/>
        </w:rPr>
      </w:pPr>
      <w:r>
        <w:rPr>
          <w:sz w:val="22"/>
          <w:szCs w:val="22"/>
          <w:highlight w:val="lightGray"/>
        </w:rPr>
        <w:t xml:space="preserve">El presupuesto estimado para los gastos imprevistos y para la comprobación de los gastos deberá mencionarse en el modelo de desglose presupuestario del expediente de licitación </w:t>
      </w:r>
    </w:p>
    <w:p w14:paraId="07806BE0" w14:textId="77777777" w:rsidR="00390F9D" w:rsidRPr="002A75C6" w:rsidRDefault="00390F9D" w:rsidP="003436FE">
      <w:pPr>
        <w:shd w:val="clear" w:color="auto" w:fill="FFFFFF"/>
        <w:spacing w:before="120" w:after="120"/>
        <w:jc w:val="both"/>
        <w:rPr>
          <w:sz w:val="22"/>
          <w:szCs w:val="22"/>
          <w:highlight w:val="lightGray"/>
        </w:rPr>
      </w:pPr>
      <w:r>
        <w:rPr>
          <w:sz w:val="22"/>
          <w:szCs w:val="22"/>
          <w:highlight w:val="lightGray"/>
        </w:rPr>
        <w:lastRenderedPageBreak/>
        <w:t>En el documento de organización y metodología de la oferta técnica debe incluirse un calendario basado en la hoja de cálculo del «Número previsto de días de trabajo».</w:t>
      </w:r>
      <w:r>
        <w:rPr>
          <w:sz w:val="22"/>
          <w:szCs w:val="22"/>
        </w:rPr>
        <w:t>]</w:t>
      </w:r>
    </w:p>
    <w:p w14:paraId="64B7219A" w14:textId="77777777" w:rsidR="00F035B3" w:rsidRPr="002A75C6" w:rsidRDefault="00F035B3" w:rsidP="003436FE">
      <w:pPr>
        <w:shd w:val="clear" w:color="auto" w:fill="FFFFFF"/>
        <w:spacing w:before="120" w:after="120"/>
        <w:jc w:val="both"/>
        <w:rPr>
          <w:sz w:val="22"/>
          <w:szCs w:val="22"/>
          <w:highlight w:val="lightGray"/>
        </w:rPr>
      </w:pPr>
      <w:r>
        <w:rPr>
          <w:sz w:val="22"/>
          <w:szCs w:val="22"/>
        </w:rPr>
        <w:t>[</w:t>
      </w:r>
      <w:r>
        <w:rPr>
          <w:sz w:val="22"/>
          <w:szCs w:val="22"/>
          <w:highlight w:val="yellow"/>
        </w:rPr>
        <w:t>En caso de gestión indirecta:</w:t>
      </w:r>
    </w:p>
    <w:p w14:paraId="6090F7BF" w14:textId="122D69F6" w:rsidR="003436FE" w:rsidRPr="002B370E" w:rsidRDefault="00C94CBF" w:rsidP="003436FE">
      <w:pPr>
        <w:shd w:val="clear" w:color="auto" w:fill="FFFFFF"/>
        <w:spacing w:before="120" w:after="120"/>
        <w:jc w:val="both"/>
        <w:rPr>
          <w:sz w:val="22"/>
          <w:szCs w:val="22"/>
        </w:rPr>
      </w:pPr>
      <w:r>
        <w:rPr>
          <w:sz w:val="22"/>
          <w:szCs w:val="22"/>
          <w:highlight w:val="lightGray"/>
        </w:rPr>
        <w:t>En el sobre independiente en el que se presente la oferta financiera, se incluirá, junto con la versión impresa de la oferta, la versión electrónica de la misma. En caso de discrepancia entre la versión electrónica y el original, la versión impresa, prevalecerá esta última.]</w:t>
      </w:r>
    </w:p>
    <w:p w14:paraId="347D3C52" w14:textId="77777777" w:rsidR="003436FE" w:rsidRDefault="003436FE" w:rsidP="003436FE">
      <w:pPr>
        <w:shd w:val="clear" w:color="auto" w:fill="FFFFFF"/>
        <w:spacing w:before="120" w:after="120"/>
        <w:jc w:val="both"/>
        <w:rPr>
          <w:sz w:val="22"/>
          <w:szCs w:val="22"/>
        </w:rPr>
      </w:pPr>
      <w:r>
        <w:rPr>
          <w:sz w:val="22"/>
          <w:szCs w:val="22"/>
        </w:rPr>
        <w:t>Se recuerda a los licitadores que, tal como se indicó en el anuncio de contrato, el presupuesto máximo disponible para este contrato es de &lt;</w:t>
      </w:r>
      <w:r>
        <w:rPr>
          <w:sz w:val="22"/>
          <w:szCs w:val="22"/>
          <w:highlight w:val="yellow"/>
        </w:rPr>
        <w:t>importe</w:t>
      </w:r>
      <w:r>
        <w:rPr>
          <w:sz w:val="22"/>
          <w:szCs w:val="22"/>
        </w:rPr>
        <w:t>&gt; [</w:t>
      </w:r>
      <w:r>
        <w:rPr>
          <w:sz w:val="22"/>
          <w:szCs w:val="22"/>
          <w:highlight w:val="yellow"/>
        </w:rPr>
        <w:t>EUR] [&lt;código ISO de la moneda nacional</w:t>
      </w:r>
      <w:r>
        <w:rPr>
          <w:sz w:val="22"/>
          <w:szCs w:val="22"/>
        </w:rPr>
        <w:t xml:space="preserve">&gt; </w:t>
      </w:r>
      <w:r>
        <w:rPr>
          <w:sz w:val="22"/>
          <w:szCs w:val="22"/>
          <w:highlight w:val="yellow"/>
        </w:rPr>
        <w:t>únicamente en gestión indirecta y en los siguientes casos</w:t>
      </w:r>
      <w:r>
        <w:rPr>
          <w:sz w:val="22"/>
          <w:szCs w:val="22"/>
        </w:rPr>
        <w:t>:</w:t>
      </w:r>
      <w:r>
        <w:rPr>
          <w:sz w:val="22"/>
          <w:szCs w:val="22"/>
          <w:highlight w:val="yellow"/>
        </w:rPr>
        <w:t xml:space="preserve"> i) cuando por imposiciones locales o legales sea preciso, excepcionalmente, utilizar la moneda nacional; </w:t>
      </w:r>
      <w:proofErr w:type="spellStart"/>
      <w:r>
        <w:rPr>
          <w:sz w:val="22"/>
          <w:szCs w:val="22"/>
          <w:highlight w:val="yellow"/>
        </w:rPr>
        <w:t>ii</w:t>
      </w:r>
      <w:proofErr w:type="spellEnd"/>
      <w:r>
        <w:rPr>
          <w:sz w:val="22"/>
          <w:szCs w:val="22"/>
          <w:highlight w:val="yellow"/>
        </w:rPr>
        <w:t>) en su caso, para los contratos en el marco del componente de anticipos de un presupuesto-programa</w:t>
      </w:r>
      <w:r>
        <w:rPr>
          <w:sz w:val="22"/>
          <w:szCs w:val="22"/>
        </w:rPr>
        <w:t xml:space="preserve">]. Los pagos en virtud de este contrato se efectuarán en la moneda de la oferta. </w:t>
      </w:r>
    </w:p>
    <w:p w14:paraId="437FD8C6" w14:textId="601FA525" w:rsidR="003436FE" w:rsidRPr="002B370E" w:rsidRDefault="003436FE" w:rsidP="003436FE">
      <w:pPr>
        <w:shd w:val="clear" w:color="auto" w:fill="FFFFFF"/>
        <w:spacing w:before="120" w:after="120"/>
        <w:jc w:val="both"/>
        <w:rPr>
          <w:sz w:val="22"/>
          <w:szCs w:val="22"/>
        </w:rPr>
      </w:pPr>
      <w:r>
        <w:rPr>
          <w:sz w:val="22"/>
          <w:szCs w:val="22"/>
        </w:rPr>
        <w:t>Disposiciones fi</w:t>
      </w:r>
      <w:r w:rsidR="006152C2">
        <w:rPr>
          <w:sz w:val="22"/>
          <w:szCs w:val="22"/>
        </w:rPr>
        <w:t>scales y aduaneras aplicables:</w:t>
      </w:r>
    </w:p>
    <w:p w14:paraId="1AAC0C9B" w14:textId="7AFA39CB" w:rsidR="003436FE" w:rsidRPr="002B370E" w:rsidRDefault="003436FE" w:rsidP="003436FE">
      <w:pPr>
        <w:shd w:val="clear" w:color="auto" w:fill="FFFFFF"/>
        <w:spacing w:before="120" w:after="120"/>
        <w:jc w:val="both"/>
        <w:rPr>
          <w:sz w:val="22"/>
          <w:szCs w:val="22"/>
          <w:u w:val="single"/>
        </w:rPr>
      </w:pPr>
      <w:r>
        <w:rPr>
          <w:sz w:val="22"/>
          <w:szCs w:val="22"/>
          <w:u w:val="single"/>
        </w:rPr>
        <w:t>Exención de impuestos</w:t>
      </w:r>
    </w:p>
    <w:p w14:paraId="556C66A1" w14:textId="2C1F2F26" w:rsidR="003436FE" w:rsidRPr="002B370E" w:rsidRDefault="003436FE" w:rsidP="003436FE">
      <w:pPr>
        <w:spacing w:before="120"/>
        <w:jc w:val="both"/>
        <w:rPr>
          <w:sz w:val="22"/>
          <w:szCs w:val="22"/>
        </w:rPr>
      </w:pPr>
      <w:r>
        <w:rPr>
          <w:sz w:val="22"/>
          <w:szCs w:val="22"/>
        </w:rPr>
        <w:t>[</w:t>
      </w:r>
      <w:r>
        <w:rPr>
          <w:sz w:val="22"/>
          <w:szCs w:val="22"/>
          <w:highlight w:val="lightGray"/>
        </w:rPr>
        <w:t>La Comisión Europea y &lt;</w:t>
      </w:r>
      <w:r>
        <w:rPr>
          <w:sz w:val="22"/>
          <w:szCs w:val="22"/>
          <w:highlight w:val="yellow"/>
        </w:rPr>
        <w:t>nombre del (de los) país(es) socio(s)</w:t>
      </w:r>
      <w:r>
        <w:rPr>
          <w:sz w:val="22"/>
          <w:szCs w:val="22"/>
          <w:highlight w:val="lightGray"/>
        </w:rPr>
        <w:t xml:space="preserve">&gt; han acordado &lt; </w:t>
      </w:r>
      <w:r>
        <w:rPr>
          <w:sz w:val="22"/>
          <w:szCs w:val="22"/>
          <w:highlight w:val="yellow"/>
        </w:rPr>
        <w:t xml:space="preserve">inserte la referencia al convenio de financiación o acuerdo marco en cuestión </w:t>
      </w:r>
      <w:r>
        <w:rPr>
          <w:sz w:val="22"/>
          <w:szCs w:val="22"/>
          <w:highlight w:val="lightGray"/>
        </w:rPr>
        <w:t xml:space="preserve">&gt; exonerar [parcialmente] [completamente] a los contratistas de los siguientes impuestos &lt; </w:t>
      </w:r>
      <w:r>
        <w:rPr>
          <w:sz w:val="22"/>
          <w:szCs w:val="22"/>
          <w:highlight w:val="yellow"/>
        </w:rPr>
        <w:t>detallar el tipo o tipos de impuestos</w:t>
      </w:r>
      <w:r>
        <w:rPr>
          <w:sz w:val="22"/>
          <w:szCs w:val="22"/>
          <w:highlight w:val="lightGray"/>
        </w:rPr>
        <w:t xml:space="preserve"> &gt;.</w:t>
      </w:r>
      <w:r>
        <w:rPr>
          <w:sz w:val="22"/>
          <w:szCs w:val="22"/>
        </w:rPr>
        <w:t xml:space="preserve"> </w:t>
      </w:r>
      <w:r>
        <w:rPr>
          <w:sz w:val="22"/>
          <w:szCs w:val="22"/>
          <w:highlight w:val="yellow"/>
        </w:rPr>
        <w:t xml:space="preserve">[Se puede añadir información más específica, como detalles de la autoridad competente del (de los) país(es) socio(s), referencia a los procedimientos de exoneración descritos en la legislación nacional vigente (por ejemplo, las formalidades necesarias, el esquema de excepción </w:t>
      </w:r>
      <w:r>
        <w:rPr>
          <w:i/>
          <w:iCs/>
          <w:sz w:val="22"/>
          <w:szCs w:val="22"/>
          <w:highlight w:val="yellow"/>
        </w:rPr>
        <w:t>ex ante</w:t>
      </w:r>
      <w:r>
        <w:rPr>
          <w:sz w:val="22"/>
          <w:szCs w:val="22"/>
          <w:highlight w:val="yellow"/>
        </w:rPr>
        <w:t xml:space="preserve"> o la devolución </w:t>
      </w:r>
      <w:r>
        <w:rPr>
          <w:i/>
          <w:iCs/>
          <w:sz w:val="22"/>
          <w:szCs w:val="22"/>
          <w:highlight w:val="yellow"/>
        </w:rPr>
        <w:t>ex post</w:t>
      </w:r>
      <w:r>
        <w:rPr>
          <w:sz w:val="22"/>
          <w:szCs w:val="22"/>
          <w:highlight w:val="yellow"/>
        </w:rPr>
        <w:t>, etc.)].</w:t>
      </w:r>
    </w:p>
    <w:p w14:paraId="3AAA23E7" w14:textId="77777777" w:rsidR="003436FE" w:rsidRPr="002B370E" w:rsidRDefault="003436FE" w:rsidP="003436FE">
      <w:pPr>
        <w:spacing w:before="120"/>
        <w:jc w:val="both"/>
        <w:rPr>
          <w:sz w:val="22"/>
          <w:szCs w:val="22"/>
        </w:rPr>
      </w:pPr>
      <w:r>
        <w:rPr>
          <w:sz w:val="22"/>
          <w:szCs w:val="22"/>
          <w:highlight w:val="yellow"/>
        </w:rPr>
        <w:t>O</w:t>
      </w:r>
    </w:p>
    <w:p w14:paraId="2C302099" w14:textId="77777777" w:rsidR="003436FE" w:rsidRPr="002B370E" w:rsidRDefault="003436FE" w:rsidP="003436FE">
      <w:pPr>
        <w:spacing w:before="120"/>
        <w:jc w:val="both"/>
        <w:rPr>
          <w:sz w:val="22"/>
          <w:szCs w:val="22"/>
        </w:rPr>
      </w:pPr>
      <w:r>
        <w:rPr>
          <w:sz w:val="22"/>
          <w:szCs w:val="22"/>
        </w:rPr>
        <w:t>[</w:t>
      </w:r>
      <w:r>
        <w:rPr>
          <w:sz w:val="22"/>
          <w:szCs w:val="22"/>
          <w:highlight w:val="lightGray"/>
        </w:rPr>
        <w:t>No existe un acuerdo de exoneración de impuestos (total o parcial) entre la Comisión Europea y &lt;</w:t>
      </w:r>
      <w:r>
        <w:rPr>
          <w:sz w:val="22"/>
          <w:szCs w:val="22"/>
          <w:highlight w:val="yellow"/>
        </w:rPr>
        <w:t>nombre del país socio</w:t>
      </w:r>
      <w:r>
        <w:rPr>
          <w:sz w:val="22"/>
          <w:szCs w:val="22"/>
          <w:highlight w:val="lightGray"/>
        </w:rPr>
        <w:t>&gt;.</w:t>
      </w:r>
      <w:r>
        <w:rPr>
          <w:sz w:val="22"/>
          <w:szCs w:val="22"/>
        </w:rPr>
        <w:t>]</w:t>
      </w:r>
    </w:p>
    <w:p w14:paraId="4D5F5297" w14:textId="77777777" w:rsidR="003436FE" w:rsidRPr="002B370E" w:rsidRDefault="003436FE" w:rsidP="003436FE">
      <w:pPr>
        <w:spacing w:before="120"/>
        <w:jc w:val="both"/>
        <w:rPr>
          <w:sz w:val="22"/>
          <w:szCs w:val="22"/>
        </w:rPr>
      </w:pPr>
    </w:p>
    <w:p w14:paraId="5CF04FDB" w14:textId="5D7CCADE" w:rsidR="003436FE" w:rsidRPr="002B370E" w:rsidRDefault="003436FE" w:rsidP="003436FE">
      <w:pPr>
        <w:spacing w:before="120" w:after="120"/>
        <w:jc w:val="both"/>
        <w:rPr>
          <w:i/>
          <w:sz w:val="22"/>
          <w:szCs w:val="22"/>
        </w:rPr>
      </w:pPr>
      <w:r>
        <w:rPr>
          <w:sz w:val="22"/>
          <w:szCs w:val="22"/>
        </w:rPr>
        <w:t>[</w:t>
      </w:r>
      <w:r>
        <w:rPr>
          <w:sz w:val="22"/>
          <w:szCs w:val="22"/>
          <w:highlight w:val="yellow"/>
        </w:rPr>
        <w:t>Para los contratos basados en honorarios:</w:t>
      </w:r>
    </w:p>
    <w:p w14:paraId="0A347F12" w14:textId="77777777" w:rsidR="003436FE" w:rsidRPr="002A75C6" w:rsidRDefault="003436FE" w:rsidP="003436FE">
      <w:pPr>
        <w:shd w:val="clear" w:color="auto" w:fill="FFFFFF"/>
        <w:spacing w:before="120" w:after="120"/>
        <w:jc w:val="both"/>
        <w:rPr>
          <w:sz w:val="22"/>
          <w:szCs w:val="22"/>
          <w:highlight w:val="lightGray"/>
          <w:u w:val="single"/>
        </w:rPr>
      </w:pPr>
      <w:r>
        <w:rPr>
          <w:sz w:val="22"/>
          <w:szCs w:val="22"/>
          <w:highlight w:val="lightGray"/>
          <w:u w:val="single"/>
        </w:rPr>
        <w:t>Gastos imprevistos</w:t>
      </w:r>
    </w:p>
    <w:p w14:paraId="1AFB8858" w14:textId="77777777" w:rsidR="003436FE" w:rsidRPr="002B370E" w:rsidRDefault="003436FE" w:rsidP="003436FE">
      <w:pPr>
        <w:shd w:val="clear" w:color="auto" w:fill="FFFFFF"/>
        <w:spacing w:before="120" w:after="120"/>
        <w:jc w:val="both"/>
        <w:rPr>
          <w:sz w:val="22"/>
          <w:szCs w:val="22"/>
        </w:rPr>
      </w:pPr>
      <w:r>
        <w:rPr>
          <w:sz w:val="22"/>
          <w:szCs w:val="22"/>
          <w:highlight w:val="lightGray"/>
        </w:rPr>
        <w:t>Los gastos imprevistos incurridos por el contratista y, en su caso, aprobados por el Órgano de Contratación serán reembolsados por completo.</w:t>
      </w:r>
      <w:r>
        <w:rPr>
          <w:sz w:val="22"/>
          <w:szCs w:val="22"/>
        </w:rPr>
        <w:t>]</w:t>
      </w:r>
    </w:p>
    <w:p w14:paraId="3EAA514A" w14:textId="77777777" w:rsidR="003436FE" w:rsidRPr="002B370E" w:rsidRDefault="003436FE" w:rsidP="003436FE">
      <w:pPr>
        <w:pStyle w:val="Text2"/>
        <w:tabs>
          <w:tab w:val="num" w:pos="1485"/>
        </w:tabs>
        <w:spacing w:before="120" w:after="0"/>
        <w:ind w:left="0"/>
        <w:rPr>
          <w:sz w:val="22"/>
          <w:szCs w:val="22"/>
        </w:rPr>
      </w:pPr>
    </w:p>
    <w:p w14:paraId="26FD5C00" w14:textId="77777777" w:rsidR="003436FE" w:rsidRPr="002B370E" w:rsidRDefault="003436FE" w:rsidP="003436FE">
      <w:pPr>
        <w:spacing w:after="120"/>
        <w:rPr>
          <w:sz w:val="22"/>
          <w:szCs w:val="22"/>
        </w:rPr>
      </w:pPr>
      <w:r>
        <w:rPr>
          <w:sz w:val="22"/>
          <w:szCs w:val="22"/>
        </w:rPr>
        <w:t>[</w:t>
      </w:r>
      <w:r>
        <w:rPr>
          <w:sz w:val="22"/>
          <w:szCs w:val="22"/>
          <w:highlight w:val="yellow"/>
        </w:rPr>
        <w:t>FED:</w:t>
      </w:r>
      <w:r>
        <w:rPr>
          <w:sz w:val="22"/>
          <w:szCs w:val="22"/>
        </w:rPr>
        <w:t xml:space="preserve"> </w:t>
      </w:r>
      <w:r>
        <w:rPr>
          <w:sz w:val="22"/>
          <w:szCs w:val="22"/>
          <w:highlight w:val="lightGray"/>
        </w:rPr>
        <w:t>Las disposiciones relativas al régimen fiscal y aduanero se adjuntan al expediente de licitación</w:t>
      </w:r>
      <w:r>
        <w:rPr>
          <w:sz w:val="22"/>
          <w:szCs w:val="22"/>
        </w:rPr>
        <w:t>.]</w:t>
      </w:r>
    </w:p>
    <w:p w14:paraId="60BF36DA" w14:textId="77777777" w:rsidR="003436FE" w:rsidRPr="002B370E" w:rsidRDefault="003436FE" w:rsidP="003436FE">
      <w:pPr>
        <w:keepNext/>
        <w:numPr>
          <w:ilvl w:val="0"/>
          <w:numId w:val="26"/>
        </w:numPr>
        <w:spacing w:before="120" w:after="120"/>
        <w:jc w:val="both"/>
        <w:rPr>
          <w:b/>
          <w:sz w:val="24"/>
          <w:szCs w:val="24"/>
        </w:rPr>
      </w:pPr>
      <w:r>
        <w:rPr>
          <w:b/>
          <w:sz w:val="24"/>
          <w:szCs w:val="24"/>
        </w:rPr>
        <w:t>Variantes</w:t>
      </w:r>
    </w:p>
    <w:p w14:paraId="22A834A5" w14:textId="77777777" w:rsidR="003436FE" w:rsidRPr="002B370E" w:rsidRDefault="003436FE" w:rsidP="003436FE">
      <w:pPr>
        <w:spacing w:before="120" w:after="120"/>
        <w:rPr>
          <w:sz w:val="22"/>
          <w:szCs w:val="22"/>
        </w:rPr>
      </w:pPr>
      <w:r>
        <w:rPr>
          <w:sz w:val="22"/>
          <w:szCs w:val="22"/>
        </w:rPr>
        <w:t>Los licitadores no podrán presentar ofertas para una variante como complemento de su oferta.</w:t>
      </w:r>
    </w:p>
    <w:p w14:paraId="29F8638D" w14:textId="77777777" w:rsidR="003436FE" w:rsidRPr="002B370E" w:rsidRDefault="003436FE" w:rsidP="003436FE">
      <w:pPr>
        <w:keepNext/>
        <w:keepLines/>
        <w:numPr>
          <w:ilvl w:val="0"/>
          <w:numId w:val="26"/>
        </w:numPr>
        <w:spacing w:before="120" w:after="120"/>
        <w:jc w:val="both"/>
        <w:rPr>
          <w:b/>
          <w:sz w:val="24"/>
          <w:szCs w:val="24"/>
        </w:rPr>
      </w:pPr>
      <w:r>
        <w:rPr>
          <w:b/>
          <w:sz w:val="24"/>
          <w:szCs w:val="24"/>
        </w:rPr>
        <w:lastRenderedPageBreak/>
        <w:t>Período de validez de las ofertas</w:t>
      </w:r>
    </w:p>
    <w:p w14:paraId="390FE83F" w14:textId="77777777" w:rsidR="003436FE" w:rsidRPr="002B370E" w:rsidRDefault="003436FE" w:rsidP="003436FE">
      <w:pPr>
        <w:keepNext/>
        <w:keepLines/>
        <w:spacing w:before="120" w:after="120"/>
        <w:jc w:val="both"/>
        <w:rPr>
          <w:sz w:val="22"/>
          <w:szCs w:val="22"/>
        </w:rPr>
      </w:pPr>
      <w:r>
        <w:rPr>
          <w:sz w:val="22"/>
          <w:szCs w:val="22"/>
        </w:rPr>
        <w:t>Los licitadores quedarán vinculados por sus ofertas durante 90 días después de que finalice el plazo de presentación de las ofertas o hasta que se les haya notificado la no adjudicación. En casos excepcionales, antes de la expiración del período de validez de las ofertas, el Órgano de Contratación puede pedir a los licitadores una prórroga de ese período durante un plazo determinado que no puede superar los 40 días.</w:t>
      </w:r>
    </w:p>
    <w:p w14:paraId="324D926D" w14:textId="77777777" w:rsidR="003436FE" w:rsidRPr="002B370E" w:rsidRDefault="003436FE" w:rsidP="0009366A">
      <w:pPr>
        <w:pStyle w:val="BodyText"/>
        <w:keepNext/>
        <w:keepLines/>
        <w:tabs>
          <w:tab w:val="left" w:pos="567"/>
        </w:tabs>
        <w:spacing w:before="120" w:after="120"/>
        <w:jc w:val="both"/>
        <w:rPr>
          <w:b/>
          <w:sz w:val="22"/>
          <w:szCs w:val="22"/>
        </w:rPr>
      </w:pPr>
      <w:r>
        <w:rPr>
          <w:sz w:val="22"/>
          <w:szCs w:val="22"/>
        </w:rPr>
        <w:t>El adjudicatario mantendrá la validez de su oferta durante 60 días adicionales. Este período de 60 días adicionales se añadirá al período de validez independientemente de la fecha de notificación.</w:t>
      </w:r>
      <w:r>
        <w:rPr>
          <w:sz w:val="20"/>
        </w:rPr>
        <w:t xml:space="preserve"> </w:t>
      </w:r>
      <w:r>
        <w:rPr>
          <w:sz w:val="22"/>
          <w:szCs w:val="22"/>
        </w:rPr>
        <w:t>Dicho período podrá ampliarse cuando el Órgano de Contratación deba recabar la recomendación del grupo de expertos a que se refiere el apartado 2.6.10.1.1 de la Guía Práctica, hasta que se adopte dicha recomendación.</w:t>
      </w:r>
    </w:p>
    <w:p w14:paraId="7BBC6B59" w14:textId="05630C84" w:rsidR="003436FE" w:rsidRPr="00F52C4F" w:rsidRDefault="003436FE" w:rsidP="00F52C4F">
      <w:pPr>
        <w:keepNext/>
        <w:numPr>
          <w:ilvl w:val="0"/>
          <w:numId w:val="26"/>
        </w:numPr>
        <w:spacing w:before="120" w:after="120"/>
        <w:jc w:val="both"/>
        <w:rPr>
          <w:sz w:val="22"/>
          <w:szCs w:val="22"/>
        </w:rPr>
      </w:pPr>
      <w:r>
        <w:rPr>
          <w:b/>
          <w:sz w:val="24"/>
          <w:szCs w:val="24"/>
        </w:rPr>
        <w:t>Información complementaria antes de que finalice el plazo de presentación de las ofertas</w:t>
      </w:r>
    </w:p>
    <w:p w14:paraId="066F286D" w14:textId="77777777" w:rsidR="00A7065A" w:rsidRDefault="00A7065A" w:rsidP="00A7065A">
      <w:pPr>
        <w:spacing w:before="120" w:after="120"/>
        <w:jc w:val="both"/>
        <w:rPr>
          <w:sz w:val="22"/>
          <w:szCs w:val="22"/>
        </w:rPr>
      </w:pPr>
      <w:r>
        <w:rPr>
          <w:sz w:val="22"/>
          <w:szCs w:val="22"/>
        </w:rPr>
        <w:t>[</w:t>
      </w:r>
      <w:r>
        <w:rPr>
          <w:sz w:val="22"/>
          <w:szCs w:val="22"/>
          <w:highlight w:val="yellow"/>
        </w:rPr>
        <w:t>Presentación electrónica (gestión directa):</w:t>
      </w:r>
    </w:p>
    <w:p w14:paraId="39C05793" w14:textId="0AAB4134" w:rsidR="004974AA" w:rsidRPr="001D7DF6" w:rsidRDefault="004974AA" w:rsidP="003436FE">
      <w:pPr>
        <w:pStyle w:val="BodyText"/>
        <w:spacing w:before="120" w:after="120"/>
        <w:jc w:val="both"/>
        <w:rPr>
          <w:rStyle w:val="Hyperlink"/>
          <w:i/>
          <w:iCs/>
          <w:sz w:val="22"/>
          <w:szCs w:val="22"/>
          <w:highlight w:val="lightGray"/>
        </w:rPr>
      </w:pPr>
      <w:r>
        <w:rPr>
          <w:sz w:val="22"/>
          <w:szCs w:val="22"/>
          <w:highlight w:val="lightGray"/>
        </w:rPr>
        <w:t xml:space="preserve">Toda solicitud de información complementaria deberá hacerse por escrito a través del portal F&amp;T en </w:t>
      </w:r>
      <w:hyperlink r:id="rId12" w:history="1">
        <w:r>
          <w:rPr>
            <w:rStyle w:val="Hyperlink"/>
            <w:i/>
            <w:iCs/>
            <w:sz w:val="22"/>
            <w:szCs w:val="22"/>
            <w:highlight w:val="lightGray"/>
          </w:rPr>
          <w:t>https://ec.europa.eu/info/funding-tenders/opportunities/portal/screen/home</w:t>
        </w:r>
      </w:hyperlink>
      <w:r>
        <w:rPr>
          <w:rStyle w:val="Hyperlink"/>
          <w:i/>
          <w:iCs/>
          <w:sz w:val="22"/>
          <w:szCs w:val="22"/>
          <w:highlight w:val="lightGray"/>
        </w:rPr>
        <w:t xml:space="preserve">. </w:t>
      </w:r>
    </w:p>
    <w:p w14:paraId="22EC7BF2" w14:textId="492428CC" w:rsidR="00A7065A" w:rsidRDefault="004974AA" w:rsidP="003436FE">
      <w:pPr>
        <w:keepNext/>
        <w:spacing w:before="120" w:after="120"/>
        <w:jc w:val="both"/>
      </w:pPr>
      <w:r>
        <w:rPr>
          <w:snapToGrid w:val="0"/>
          <w:sz w:val="22"/>
          <w:szCs w:val="22"/>
          <w:highlight w:val="lightGray"/>
        </w:rPr>
        <w:t xml:space="preserve">Es obligatorio registrarse en </w:t>
      </w:r>
      <w:r w:rsidR="006F2B10">
        <w:rPr>
          <w:snapToGrid w:val="0"/>
          <w:sz w:val="22"/>
          <w:szCs w:val="22"/>
          <w:highlight w:val="lightGray"/>
        </w:rPr>
        <w:t>F&amp;T portal</w:t>
      </w:r>
      <w:r>
        <w:rPr>
          <w:snapToGrid w:val="0"/>
          <w:sz w:val="22"/>
          <w:szCs w:val="22"/>
          <w:highlight w:val="lightGray"/>
        </w:rPr>
        <w:t xml:space="preserve"> para poder crear y presentar una pregunta. Puede solicitarse información complementaria haciendo clic en «Crear una pregunta» en la </w:t>
      </w:r>
      <w:r w:rsidR="006F2B10" w:rsidRPr="00820892">
        <w:rPr>
          <w:snapToGrid w:val="0"/>
          <w:sz w:val="22"/>
          <w:szCs w:val="22"/>
          <w:highlight w:val="lightGray"/>
        </w:rPr>
        <w:t>sección</w:t>
      </w:r>
      <w:r w:rsidR="006F2B10" w:rsidRPr="006F2B10">
        <w:rPr>
          <w:snapToGrid w:val="0"/>
          <w:sz w:val="22"/>
          <w:szCs w:val="22"/>
          <w:highlight w:val="lightGray"/>
        </w:rPr>
        <w:t xml:space="preserve"> </w:t>
      </w:r>
      <w:r>
        <w:rPr>
          <w:snapToGrid w:val="0"/>
          <w:sz w:val="22"/>
          <w:szCs w:val="22"/>
          <w:highlight w:val="lightGray"/>
        </w:rPr>
        <w:t>«Preguntas y respuestas» a más tardar 21 antes de que concluya plazo de presentación de las ofertas.</w:t>
      </w:r>
      <w:r>
        <w:t>]</w:t>
      </w:r>
    </w:p>
    <w:p w14:paraId="086437FF" w14:textId="18E5F074" w:rsidR="00A7065A" w:rsidRDefault="00A7065A" w:rsidP="00F52C4F">
      <w:pPr>
        <w:spacing w:before="120" w:after="120"/>
        <w:jc w:val="both"/>
      </w:pPr>
      <w:r>
        <w:rPr>
          <w:sz w:val="22"/>
          <w:szCs w:val="22"/>
        </w:rPr>
        <w:t>[</w:t>
      </w:r>
      <w:r>
        <w:rPr>
          <w:sz w:val="22"/>
          <w:szCs w:val="22"/>
          <w:highlight w:val="yellow"/>
        </w:rPr>
        <w:t>Presentación en papel (gestión indirecta):</w:t>
      </w:r>
    </w:p>
    <w:p w14:paraId="07C4D801" w14:textId="77777777" w:rsidR="003436FE" w:rsidRPr="00510846" w:rsidRDefault="003436FE" w:rsidP="003436FE">
      <w:pPr>
        <w:keepNext/>
        <w:spacing w:before="120" w:after="120"/>
        <w:jc w:val="both"/>
        <w:rPr>
          <w:sz w:val="22"/>
          <w:szCs w:val="22"/>
        </w:rPr>
      </w:pPr>
      <w:r>
        <w:rPr>
          <w:sz w:val="22"/>
          <w:szCs w:val="22"/>
          <w:highlight w:val="lightGray"/>
        </w:rPr>
        <w:t>Los licitadores pueden enviar sus consultas por escrito hasta 21 días antes de que finalice el plazo de presentación de las ofertas, especificando la referencia de publicación y el título del contrato a la siguiente dirección:]</w:t>
      </w:r>
    </w:p>
    <w:p w14:paraId="259F51D7" w14:textId="484641CB" w:rsidR="003436FE" w:rsidRPr="00510846" w:rsidRDefault="003436FE" w:rsidP="003436FE">
      <w:pPr>
        <w:pStyle w:val="BodyText"/>
        <w:spacing w:before="240"/>
        <w:rPr>
          <w:sz w:val="22"/>
          <w:szCs w:val="22"/>
        </w:rPr>
      </w:pPr>
      <w:r>
        <w:rPr>
          <w:sz w:val="22"/>
          <w:szCs w:val="22"/>
          <w:highlight w:val="yellow"/>
        </w:rPr>
        <w:t>&lt;Nombre de la persona de contacto</w:t>
      </w:r>
      <w:r>
        <w:rPr>
          <w:sz w:val="22"/>
          <w:szCs w:val="22"/>
          <w:highlight w:val="yellow"/>
        </w:rPr>
        <w:br/>
        <w:t>Dirección</w:t>
      </w:r>
      <w:r>
        <w:rPr>
          <w:sz w:val="22"/>
          <w:szCs w:val="22"/>
          <w:highlight w:val="yellow"/>
        </w:rPr>
        <w:br/>
        <w:t>Fax</w:t>
      </w:r>
      <w:r>
        <w:rPr>
          <w:sz w:val="22"/>
          <w:szCs w:val="22"/>
          <w:highlight w:val="yellow"/>
        </w:rPr>
        <w:br/>
        <w:t xml:space="preserve">[Correo </w:t>
      </w:r>
      <w:proofErr w:type="gramStart"/>
      <w:r>
        <w:rPr>
          <w:sz w:val="22"/>
          <w:szCs w:val="22"/>
          <w:highlight w:val="yellow"/>
        </w:rPr>
        <w:t>electrónico:…</w:t>
      </w:r>
      <w:proofErr w:type="gramEnd"/>
      <w:r>
        <w:rPr>
          <w:sz w:val="22"/>
          <w:szCs w:val="22"/>
          <w:highlight w:val="yellow"/>
        </w:rPr>
        <w:t>…&gt;</w:t>
      </w:r>
      <w:r>
        <w:rPr>
          <w:sz w:val="22"/>
          <w:szCs w:val="22"/>
        </w:rPr>
        <w:t>]</w:t>
      </w:r>
    </w:p>
    <w:p w14:paraId="6C1376C6" w14:textId="38F5DD70" w:rsidR="003436FE" w:rsidRPr="002B370E" w:rsidRDefault="003436FE" w:rsidP="003436FE">
      <w:pPr>
        <w:pStyle w:val="BodyText"/>
        <w:spacing w:before="120" w:after="120"/>
        <w:jc w:val="both"/>
        <w:rPr>
          <w:sz w:val="22"/>
          <w:szCs w:val="22"/>
        </w:rPr>
      </w:pPr>
      <w:r>
        <w:rPr>
          <w:sz w:val="22"/>
          <w:szCs w:val="22"/>
        </w:rPr>
        <w:t>El Órgano de Contratación no tendrá la obligación de</w:t>
      </w:r>
      <w:r w:rsidR="000D7EA9">
        <w:rPr>
          <w:sz w:val="22"/>
          <w:szCs w:val="22"/>
        </w:rPr>
        <w:t xml:space="preserve"> </w:t>
      </w:r>
      <w:r w:rsidR="000D7EA9" w:rsidRPr="000D7EA9">
        <w:rPr>
          <w:sz w:val="22"/>
          <w:szCs w:val="22"/>
        </w:rPr>
        <w:t>aclarar</w:t>
      </w:r>
      <w:r w:rsidR="000D7EA9">
        <w:rPr>
          <w:sz w:val="22"/>
          <w:szCs w:val="22"/>
        </w:rPr>
        <w:t xml:space="preserve"> las preguntas recibidas </w:t>
      </w:r>
      <w:r>
        <w:rPr>
          <w:sz w:val="22"/>
          <w:szCs w:val="22"/>
        </w:rPr>
        <w:t>después de esta fecha.</w:t>
      </w:r>
    </w:p>
    <w:p w14:paraId="126ECCE1" w14:textId="4A56F6AA" w:rsidR="00A7065A" w:rsidRPr="002B370E" w:rsidRDefault="003436FE" w:rsidP="003436FE">
      <w:pPr>
        <w:pStyle w:val="BodyText"/>
        <w:spacing w:before="120" w:after="120"/>
        <w:jc w:val="both"/>
        <w:rPr>
          <w:sz w:val="22"/>
          <w:szCs w:val="22"/>
        </w:rPr>
      </w:pPr>
      <w:r>
        <w:rPr>
          <w:sz w:val="22"/>
          <w:szCs w:val="22"/>
        </w:rPr>
        <w:t>Todo licitador que, en relación con el contrato, trate de concertar reuniones individuales con el Órgano de Contratación, con el Gobierno del país socio o con la Comisión Europea durante el período de licitación podrá ser excluido del procedimiento de licitación.</w:t>
      </w:r>
    </w:p>
    <w:p w14:paraId="3FB68019" w14:textId="0541C382" w:rsidR="00A71182" w:rsidRPr="002A75C6" w:rsidRDefault="00A71182" w:rsidP="00A71182">
      <w:pPr>
        <w:pStyle w:val="BodyText"/>
        <w:spacing w:before="120" w:after="120"/>
        <w:jc w:val="both"/>
        <w:rPr>
          <w:sz w:val="22"/>
          <w:szCs w:val="22"/>
          <w:highlight w:val="lightGray"/>
        </w:rPr>
      </w:pPr>
      <w:r>
        <w:rPr>
          <w:b/>
          <w:sz w:val="22"/>
          <w:szCs w:val="22"/>
        </w:rPr>
        <w:t xml:space="preserve"> [</w:t>
      </w:r>
      <w:r>
        <w:rPr>
          <w:b/>
          <w:sz w:val="22"/>
          <w:szCs w:val="22"/>
          <w:highlight w:val="yellow"/>
        </w:rPr>
        <w:t>Opción 1:</w:t>
      </w:r>
      <w:r>
        <w:rPr>
          <w:sz w:val="22"/>
          <w:szCs w:val="22"/>
          <w:highlight w:val="lightGray"/>
        </w:rPr>
        <w:t xml:space="preserve"> </w:t>
      </w:r>
    </w:p>
    <w:p w14:paraId="26E00672" w14:textId="77777777" w:rsidR="00A71182" w:rsidRPr="00956A0F" w:rsidRDefault="00A71182" w:rsidP="00A71182">
      <w:pPr>
        <w:pStyle w:val="BodyText"/>
        <w:spacing w:before="120" w:after="120"/>
        <w:jc w:val="both"/>
        <w:rPr>
          <w:sz w:val="22"/>
          <w:szCs w:val="22"/>
        </w:rPr>
      </w:pPr>
      <w:r>
        <w:rPr>
          <w:sz w:val="22"/>
          <w:szCs w:val="22"/>
          <w:highlight w:val="yellow"/>
        </w:rPr>
        <w:t>[Presentación electrónica (gestión directa):</w:t>
      </w:r>
    </w:p>
    <w:p w14:paraId="7B641469" w14:textId="624EA840" w:rsidR="00D4662E" w:rsidRPr="002A75C6" w:rsidRDefault="00D4662E" w:rsidP="00442485">
      <w:pPr>
        <w:pStyle w:val="PRAGHeading2"/>
        <w:numPr>
          <w:ilvl w:val="0"/>
          <w:numId w:val="0"/>
        </w:numPr>
        <w:jc w:val="both"/>
        <w:rPr>
          <w:sz w:val="22"/>
          <w:szCs w:val="22"/>
          <w:highlight w:val="lightGray"/>
        </w:rPr>
      </w:pPr>
      <w:r>
        <w:rPr>
          <w:sz w:val="22"/>
          <w:szCs w:val="22"/>
          <w:highlight w:val="lightGray"/>
        </w:rPr>
        <w:t xml:space="preserve">Las aclaraciones se publicarán </w:t>
      </w:r>
      <w:r>
        <w:rPr>
          <w:sz w:val="22"/>
          <w:szCs w:val="22"/>
          <w:highlight w:val="lightGray"/>
          <w:shd w:val="clear" w:color="auto" w:fill="BFBFBF"/>
        </w:rPr>
        <w:t>en el sitio web</w:t>
      </w:r>
      <w:r>
        <w:rPr>
          <w:snapToGrid/>
          <w:sz w:val="22"/>
          <w:szCs w:val="22"/>
          <w:shd w:val="clear" w:color="auto" w:fill="BFBFBF"/>
        </w:rPr>
        <w:t xml:space="preserve"> </w:t>
      </w:r>
      <w:r w:rsidR="006F2B10">
        <w:rPr>
          <w:sz w:val="22"/>
          <w:szCs w:val="22"/>
          <w:highlight w:val="lightGray"/>
          <w:shd w:val="clear" w:color="auto" w:fill="BFBFBF"/>
        </w:rPr>
        <w:t>F&amp;T portal</w:t>
      </w:r>
      <w:r>
        <w:rPr>
          <w:sz w:val="22"/>
          <w:szCs w:val="22"/>
          <w:highlight w:val="lightGray"/>
        </w:rPr>
        <w:t xml:space="preserve"> a más tardar 8 días antes de que finalice el plazo de presentación de las ofertas. El sitio web se actualizará periódicamente y es responsabilidad de los licitadores comprobar las actualizaciones y modificaciones que se produzcan durante el plazo de presentación de las ofertas</w:t>
      </w:r>
      <w:r>
        <w:rPr>
          <w:sz w:val="22"/>
          <w:szCs w:val="22"/>
        </w:rPr>
        <w:t>.</w:t>
      </w:r>
    </w:p>
    <w:p w14:paraId="6512B2CF" w14:textId="77777777" w:rsidR="003436FE" w:rsidRPr="002A75C6" w:rsidRDefault="003436FE" w:rsidP="003436FE">
      <w:pPr>
        <w:pStyle w:val="BodyText"/>
        <w:spacing w:before="120" w:after="120"/>
        <w:jc w:val="both"/>
        <w:rPr>
          <w:sz w:val="22"/>
          <w:szCs w:val="22"/>
          <w:highlight w:val="lightGray"/>
        </w:rPr>
      </w:pPr>
      <w:r>
        <w:rPr>
          <w:sz w:val="22"/>
          <w:szCs w:val="22"/>
          <w:highlight w:val="lightGray"/>
        </w:rPr>
        <w:t>No se ha previsto la celebración de ninguna reunión aclaratoria.</w:t>
      </w:r>
    </w:p>
    <w:p w14:paraId="19629DF2" w14:textId="77777777" w:rsidR="003436FE" w:rsidRPr="002A75C6" w:rsidRDefault="003436FE" w:rsidP="003436FE">
      <w:pPr>
        <w:pStyle w:val="BodyText"/>
        <w:spacing w:before="120" w:after="120"/>
        <w:jc w:val="both"/>
        <w:rPr>
          <w:sz w:val="22"/>
          <w:szCs w:val="22"/>
          <w:highlight w:val="lightGray"/>
        </w:rPr>
      </w:pPr>
      <w:r>
        <w:rPr>
          <w:sz w:val="22"/>
          <w:szCs w:val="22"/>
          <w:highlight w:val="lightGray"/>
        </w:rPr>
        <w:lastRenderedPageBreak/>
        <w:t>No se prevé la realización de ninguna visita sobre el terreno.</w:t>
      </w:r>
    </w:p>
    <w:p w14:paraId="77521238" w14:textId="77777777" w:rsidR="003436FE" w:rsidRDefault="003436FE" w:rsidP="003436FE">
      <w:pPr>
        <w:pStyle w:val="BodyText"/>
        <w:spacing w:before="120" w:after="120"/>
        <w:jc w:val="both"/>
        <w:rPr>
          <w:sz w:val="22"/>
          <w:szCs w:val="22"/>
        </w:rPr>
      </w:pPr>
      <w:r>
        <w:rPr>
          <w:sz w:val="22"/>
          <w:szCs w:val="22"/>
          <w:highlight w:val="lightGray"/>
        </w:rPr>
        <w:t>No se organizarán visitas de licitadores individuales durante el procedimiento.]</w:t>
      </w:r>
    </w:p>
    <w:p w14:paraId="2291EF39" w14:textId="77777777" w:rsidR="00A71182" w:rsidRDefault="00A71182" w:rsidP="00A71182">
      <w:pPr>
        <w:pStyle w:val="BodyText"/>
        <w:spacing w:before="120" w:after="120"/>
        <w:jc w:val="both"/>
        <w:rPr>
          <w:sz w:val="22"/>
          <w:szCs w:val="22"/>
        </w:rPr>
      </w:pPr>
      <w:r>
        <w:rPr>
          <w:sz w:val="22"/>
          <w:szCs w:val="22"/>
          <w:highlight w:val="yellow"/>
        </w:rPr>
        <w:t>[Presentación en papel (gestión indirecta):</w:t>
      </w:r>
    </w:p>
    <w:p w14:paraId="5393215E" w14:textId="648F1C0C" w:rsidR="00A71182" w:rsidRPr="002A75C6" w:rsidRDefault="00A71182" w:rsidP="00A71182">
      <w:pPr>
        <w:pStyle w:val="BodyText"/>
        <w:spacing w:before="120" w:after="120"/>
        <w:jc w:val="both"/>
        <w:rPr>
          <w:sz w:val="22"/>
          <w:szCs w:val="22"/>
          <w:highlight w:val="lightGray"/>
        </w:rPr>
      </w:pPr>
      <w:r>
        <w:rPr>
          <w:sz w:val="22"/>
          <w:szCs w:val="22"/>
          <w:highlight w:val="lightGray"/>
        </w:rPr>
        <w:t xml:space="preserve">Las eventuales aclaraciones del expediente de licitación serán comunicadas simultáneamente y por escrito a todos los licitadores al menos 8 días antes de que finalice el plazo de presentación de las ofertas. </w:t>
      </w:r>
    </w:p>
    <w:p w14:paraId="4E73EDD0" w14:textId="77777777" w:rsidR="00A71182" w:rsidRPr="002A75C6" w:rsidRDefault="00A71182" w:rsidP="00A71182">
      <w:pPr>
        <w:pStyle w:val="BodyText"/>
        <w:spacing w:before="120" w:after="120"/>
        <w:jc w:val="both"/>
        <w:rPr>
          <w:sz w:val="22"/>
          <w:szCs w:val="22"/>
          <w:highlight w:val="lightGray"/>
        </w:rPr>
      </w:pPr>
      <w:r>
        <w:rPr>
          <w:sz w:val="22"/>
          <w:szCs w:val="22"/>
          <w:highlight w:val="lightGray"/>
        </w:rPr>
        <w:t>No se ha previsto la celebración de ninguna reunión aclaratoria.</w:t>
      </w:r>
    </w:p>
    <w:p w14:paraId="50771629" w14:textId="77777777" w:rsidR="00A71182" w:rsidRPr="002A75C6" w:rsidRDefault="00A71182" w:rsidP="00A71182">
      <w:pPr>
        <w:pStyle w:val="BodyText"/>
        <w:spacing w:before="120" w:after="120"/>
        <w:jc w:val="both"/>
        <w:rPr>
          <w:sz w:val="22"/>
          <w:szCs w:val="22"/>
          <w:highlight w:val="lightGray"/>
        </w:rPr>
      </w:pPr>
      <w:r>
        <w:rPr>
          <w:sz w:val="22"/>
          <w:szCs w:val="22"/>
          <w:highlight w:val="lightGray"/>
        </w:rPr>
        <w:t>No se prevé la realización de ninguna visita sobre el terreno.</w:t>
      </w:r>
    </w:p>
    <w:p w14:paraId="4464F6C6" w14:textId="6133ECCC" w:rsidR="00A71182" w:rsidRPr="002B370E" w:rsidRDefault="00A71182" w:rsidP="003436FE">
      <w:pPr>
        <w:pStyle w:val="BodyText"/>
        <w:spacing w:before="120" w:after="120"/>
        <w:jc w:val="both"/>
        <w:rPr>
          <w:sz w:val="22"/>
          <w:szCs w:val="22"/>
        </w:rPr>
      </w:pPr>
      <w:r>
        <w:rPr>
          <w:sz w:val="22"/>
          <w:szCs w:val="22"/>
          <w:highlight w:val="lightGray"/>
        </w:rPr>
        <w:t>No se organizarán visitas de licitadores individuales durante el procedimiento.]</w:t>
      </w:r>
    </w:p>
    <w:p w14:paraId="705BD54E" w14:textId="2010324A" w:rsidR="003436FE" w:rsidRDefault="003436FE" w:rsidP="003436FE">
      <w:pPr>
        <w:pStyle w:val="BodyText"/>
        <w:spacing w:before="120" w:after="120"/>
        <w:jc w:val="both"/>
        <w:rPr>
          <w:b/>
          <w:sz w:val="22"/>
          <w:szCs w:val="22"/>
        </w:rPr>
      </w:pPr>
      <w:r>
        <w:rPr>
          <w:b/>
          <w:sz w:val="22"/>
          <w:szCs w:val="22"/>
          <w:highlight w:val="yellow"/>
        </w:rPr>
        <w:t>[Opción 2</w:t>
      </w:r>
    </w:p>
    <w:p w14:paraId="0E130734" w14:textId="77777777" w:rsidR="00A71182" w:rsidRPr="00956A0F" w:rsidRDefault="00A71182" w:rsidP="00A71182">
      <w:pPr>
        <w:pStyle w:val="BodyText"/>
        <w:spacing w:before="120" w:after="120"/>
        <w:jc w:val="both"/>
        <w:rPr>
          <w:sz w:val="22"/>
          <w:szCs w:val="22"/>
        </w:rPr>
      </w:pPr>
      <w:r>
        <w:rPr>
          <w:sz w:val="22"/>
          <w:szCs w:val="22"/>
          <w:highlight w:val="yellow"/>
        </w:rPr>
        <w:t>[Presentación electrónica (gestión directa):</w:t>
      </w:r>
    </w:p>
    <w:p w14:paraId="4CC3FF2F" w14:textId="7E998825" w:rsidR="003436FE" w:rsidRPr="002A75C6" w:rsidRDefault="003436FE" w:rsidP="003436FE">
      <w:pPr>
        <w:pStyle w:val="BodyText"/>
        <w:spacing w:before="120" w:after="120"/>
        <w:jc w:val="both"/>
        <w:rPr>
          <w:sz w:val="22"/>
          <w:szCs w:val="22"/>
          <w:highlight w:val="lightGray"/>
        </w:rPr>
      </w:pPr>
      <w:r>
        <w:rPr>
          <w:sz w:val="22"/>
          <w:szCs w:val="22"/>
          <w:highlight w:val="lightGray"/>
        </w:rPr>
        <w:t xml:space="preserve">Se celebrará una </w:t>
      </w:r>
      <w:r>
        <w:rPr>
          <w:b/>
          <w:bCs/>
          <w:sz w:val="22"/>
          <w:szCs w:val="22"/>
          <w:highlight w:val="lightGray"/>
        </w:rPr>
        <w:t>reunión informativa</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reunión)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reunión informativa se responderá a las preguntas sobre el expediente de licitación que se hayan enviado por escrito o se planteen en la reunión. El contenido de esta se hará constar en acta</w:t>
      </w:r>
      <w:bookmarkStart w:id="3" w:name="_Ref69126024"/>
      <w:r w:rsidR="0015671D" w:rsidRPr="002A75C6">
        <w:rPr>
          <w:rStyle w:val="FootnoteReference"/>
          <w:sz w:val="22"/>
          <w:szCs w:val="22"/>
          <w:highlight w:val="lightGray"/>
        </w:rPr>
        <w:footnoteReference w:id="2"/>
      </w:r>
      <w:bookmarkEnd w:id="3"/>
      <w:r>
        <w:rPr>
          <w:sz w:val="22"/>
          <w:szCs w:val="22"/>
          <w:highlight w:val="lightGray"/>
        </w:rPr>
        <w:t xml:space="preserve">, que se publicará en el sitio web </w:t>
      </w:r>
      <w:r w:rsidR="006F2B10">
        <w:rPr>
          <w:sz w:val="22"/>
          <w:szCs w:val="22"/>
          <w:highlight w:val="lightGray"/>
        </w:rPr>
        <w:t>F&amp;T portal</w:t>
      </w:r>
      <w:r>
        <w:rPr>
          <w:sz w:val="22"/>
          <w:szCs w:val="22"/>
          <w:highlight w:val="lightGray"/>
        </w:rPr>
        <w:t>, junto con las eventuales aclaraciones en respuesta a preguntas escritas que no se aborden durante la reunión, como muy tarde 8 días antes de que finalice el plazo de presentación de las ofertas. El sitio web se actualizará periódicamente y es responsabilidad de los licitadores comprobar las actualizaciones y modificaciones que se produzcan durante el plazo de presentación de ofertas. Todos los costes ocasionados por la asistencia a esta reunión correrán a cargo de los licitadores.</w:t>
      </w:r>
    </w:p>
    <w:p w14:paraId="16219135" w14:textId="52B6EFAE" w:rsidR="003436FE" w:rsidRPr="002A75C6" w:rsidRDefault="003436FE" w:rsidP="003436FE">
      <w:pPr>
        <w:pStyle w:val="BodyText"/>
        <w:keepNext/>
        <w:keepLines/>
        <w:spacing w:before="120" w:after="120"/>
        <w:jc w:val="both"/>
        <w:rPr>
          <w:sz w:val="22"/>
          <w:szCs w:val="22"/>
          <w:highlight w:val="lightGray"/>
        </w:rPr>
      </w:pPr>
      <w:r>
        <w:rPr>
          <w:sz w:val="22"/>
          <w:szCs w:val="22"/>
          <w:highlight w:val="lightGray"/>
        </w:rPr>
        <w:t xml:space="preserve">Se organizará una </w:t>
      </w:r>
      <w:r>
        <w:rPr>
          <w:b/>
          <w:bCs/>
          <w:sz w:val="22"/>
          <w:szCs w:val="22"/>
          <w:highlight w:val="lightGray"/>
        </w:rPr>
        <w:t>visita sobre el terreno</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visita)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visita sobre el terreno, los licitadores potenciales podrán familiarizarse con el proyecto y las condiciones locales. Los eventuales licitadores deben escribir a la dirección antes indicada para confirmar su intención de asistir a la visita sobre el terreno. Durante la visita sobre el terreno no se dará información complementaria ni se harán aclaraciones sobre el expediente de licitación. El Órgano de Contratación hará estas aclaraciones del modo indicado anteriormente. Todos los costes ocasionados por la visita sobre el terreno correrán a cargo de los licitadores.</w:t>
      </w:r>
    </w:p>
    <w:p w14:paraId="20CC5DA5" w14:textId="77777777" w:rsidR="003436FE" w:rsidRDefault="003436FE" w:rsidP="003436FE">
      <w:pPr>
        <w:pStyle w:val="BodyText"/>
        <w:spacing w:before="120" w:after="120"/>
        <w:jc w:val="both"/>
        <w:rPr>
          <w:sz w:val="22"/>
          <w:szCs w:val="22"/>
        </w:rPr>
      </w:pPr>
      <w:r>
        <w:rPr>
          <w:sz w:val="22"/>
          <w:szCs w:val="22"/>
          <w:highlight w:val="lightGray"/>
        </w:rPr>
        <w:t>No se organizarán visitas de licitadores individuales durante el procedimiento.]</w:t>
      </w:r>
    </w:p>
    <w:p w14:paraId="5B31500B" w14:textId="77777777" w:rsidR="00A71182" w:rsidRDefault="00A71182" w:rsidP="00A71182">
      <w:pPr>
        <w:pStyle w:val="BodyText"/>
        <w:spacing w:before="120" w:after="120"/>
        <w:jc w:val="both"/>
        <w:rPr>
          <w:sz w:val="22"/>
          <w:szCs w:val="22"/>
        </w:rPr>
      </w:pPr>
      <w:r>
        <w:rPr>
          <w:sz w:val="22"/>
          <w:szCs w:val="22"/>
          <w:highlight w:val="yellow"/>
        </w:rPr>
        <w:t>[Presentación en papel (gestión indirecta):</w:t>
      </w:r>
    </w:p>
    <w:p w14:paraId="0DD88C51" w14:textId="7309C743" w:rsidR="00F951E3" w:rsidRPr="002A75C6" w:rsidRDefault="00F951E3" w:rsidP="00F951E3">
      <w:pPr>
        <w:pStyle w:val="BodyText"/>
        <w:spacing w:before="120" w:after="120"/>
        <w:jc w:val="both"/>
        <w:rPr>
          <w:sz w:val="22"/>
          <w:szCs w:val="22"/>
          <w:highlight w:val="lightGray"/>
        </w:rPr>
      </w:pPr>
      <w:r>
        <w:rPr>
          <w:sz w:val="22"/>
          <w:szCs w:val="22"/>
          <w:highlight w:val="lightGray"/>
        </w:rPr>
        <w:t xml:space="preserve">Se celebrará una </w:t>
      </w:r>
      <w:r>
        <w:rPr>
          <w:b/>
          <w:bCs/>
          <w:sz w:val="22"/>
          <w:szCs w:val="22"/>
          <w:highlight w:val="lightGray"/>
        </w:rPr>
        <w:t>reunión informativa</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reunión)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reunión informativa se responderá a las preguntas sobre el expediente de licitación que se hayan enviado por escrito o se planteen en la reunión. El contenido de esta se hará constar en acta</w:t>
      </w:r>
      <w:r w:rsidR="001D7DE1" w:rsidRPr="002A75C6">
        <w:rPr>
          <w:sz w:val="22"/>
          <w:szCs w:val="22"/>
          <w:highlight w:val="lightGray"/>
          <w:vertAlign w:val="superscript"/>
        </w:rPr>
        <w:fldChar w:fldCharType="begin"/>
      </w:r>
      <w:r w:rsidR="001D7DE1" w:rsidRPr="002A75C6">
        <w:rPr>
          <w:sz w:val="22"/>
          <w:szCs w:val="22"/>
          <w:highlight w:val="lightGray"/>
          <w:vertAlign w:val="superscript"/>
        </w:rPr>
        <w:instrText xml:space="preserve"> NOTEREF _Ref69126024 \h  \* MERGEFORMAT </w:instrText>
      </w:r>
      <w:r w:rsidR="001D7DE1" w:rsidRPr="002A75C6">
        <w:rPr>
          <w:sz w:val="22"/>
          <w:szCs w:val="22"/>
          <w:highlight w:val="lightGray"/>
          <w:vertAlign w:val="superscript"/>
        </w:rPr>
      </w:r>
      <w:r w:rsidR="001D7DE1" w:rsidRPr="002A75C6">
        <w:rPr>
          <w:sz w:val="22"/>
          <w:szCs w:val="22"/>
          <w:highlight w:val="lightGray"/>
          <w:vertAlign w:val="superscript"/>
        </w:rPr>
        <w:fldChar w:fldCharType="separate"/>
      </w:r>
      <w:r w:rsidR="001D7DE1" w:rsidRPr="002A75C6">
        <w:rPr>
          <w:sz w:val="22"/>
          <w:szCs w:val="22"/>
          <w:highlight w:val="lightGray"/>
          <w:vertAlign w:val="superscript"/>
        </w:rPr>
        <w:t>3</w:t>
      </w:r>
      <w:r w:rsidR="001D7DE1" w:rsidRPr="002A75C6">
        <w:rPr>
          <w:sz w:val="22"/>
          <w:szCs w:val="22"/>
          <w:highlight w:val="lightGray"/>
          <w:vertAlign w:val="superscript"/>
        </w:rPr>
        <w:fldChar w:fldCharType="end"/>
      </w:r>
      <w:r>
        <w:rPr>
          <w:sz w:val="22"/>
          <w:szCs w:val="22"/>
          <w:highlight w:val="lightGray"/>
        </w:rPr>
        <w:t xml:space="preserve">, que será enviada por escrito a todos los licitadores, junto con las eventuales aclaraciones en respuesta a preguntas escritas que no se aborden </w:t>
      </w:r>
      <w:r>
        <w:rPr>
          <w:sz w:val="22"/>
          <w:szCs w:val="22"/>
          <w:highlight w:val="lightGray"/>
        </w:rPr>
        <w:lastRenderedPageBreak/>
        <w:t>durante la reunión, como muy tarde 8 días antes de que finalice el plazo de presentación de las ofertas. Todos los costes ocasionados por la asistencia a esta reunión correrán a cargo de los licitadores.</w:t>
      </w:r>
    </w:p>
    <w:p w14:paraId="478BBC7E" w14:textId="6285FC61" w:rsidR="00F951E3" w:rsidRPr="002A75C6" w:rsidRDefault="00F951E3" w:rsidP="00F951E3">
      <w:pPr>
        <w:pStyle w:val="BodyText"/>
        <w:keepNext/>
        <w:keepLines/>
        <w:spacing w:before="120" w:after="120"/>
        <w:jc w:val="both"/>
        <w:rPr>
          <w:sz w:val="22"/>
          <w:szCs w:val="22"/>
          <w:highlight w:val="lightGray"/>
        </w:rPr>
      </w:pPr>
      <w:r>
        <w:rPr>
          <w:sz w:val="22"/>
          <w:szCs w:val="22"/>
          <w:highlight w:val="lightGray"/>
        </w:rPr>
        <w:t xml:space="preserve">Se organizará una </w:t>
      </w:r>
      <w:r>
        <w:rPr>
          <w:b/>
          <w:bCs/>
          <w:sz w:val="22"/>
          <w:szCs w:val="22"/>
          <w:highlight w:val="lightGray"/>
        </w:rPr>
        <w:t>visita sobre el terreno</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visita)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visita sobre el terreno, los licitadores potenciales podrán familiarizarse con el proyecto y las condiciones locales. Los eventuales licitadores deben escribir a la dirección antes indicada para confirmar su intención de asistir a la visita sobre el terreno. Durante la visita sobre el terreno no se dará información complementaria ni se harán aclaraciones sobre el expediente de licitación. El Órgano de Contratación hará estas aclaraciones del modo indicado anteriormente. Todos los costes ocasionados por la visita sobre el terreno correrán a cargo de los licitadores.</w:t>
      </w:r>
    </w:p>
    <w:p w14:paraId="56CB0909" w14:textId="77777777" w:rsidR="00F951E3" w:rsidRPr="002B370E" w:rsidRDefault="00F951E3" w:rsidP="00F951E3">
      <w:pPr>
        <w:pStyle w:val="BodyText"/>
        <w:spacing w:before="120" w:after="120"/>
        <w:jc w:val="both"/>
        <w:rPr>
          <w:sz w:val="22"/>
          <w:szCs w:val="22"/>
        </w:rPr>
      </w:pPr>
      <w:r>
        <w:rPr>
          <w:sz w:val="22"/>
          <w:szCs w:val="22"/>
          <w:highlight w:val="lightGray"/>
        </w:rPr>
        <w:t>No se organizarán visitas de licitadores individuales durante el procedimiento.]</w:t>
      </w:r>
    </w:p>
    <w:p w14:paraId="46268140" w14:textId="77777777" w:rsidR="00A71182" w:rsidRPr="002B370E" w:rsidRDefault="00A71182" w:rsidP="003436FE">
      <w:pPr>
        <w:pStyle w:val="BodyText"/>
        <w:spacing w:before="120" w:after="120"/>
        <w:jc w:val="both"/>
        <w:rPr>
          <w:sz w:val="22"/>
          <w:szCs w:val="22"/>
        </w:rPr>
      </w:pPr>
    </w:p>
    <w:p w14:paraId="4E394C11" w14:textId="492FF4B2" w:rsidR="003436FE" w:rsidRDefault="003436FE" w:rsidP="003436FE">
      <w:pPr>
        <w:pStyle w:val="BodyText"/>
        <w:spacing w:before="120" w:after="120"/>
        <w:jc w:val="both"/>
        <w:rPr>
          <w:b/>
          <w:sz w:val="22"/>
          <w:szCs w:val="22"/>
        </w:rPr>
      </w:pPr>
      <w:r>
        <w:rPr>
          <w:b/>
          <w:sz w:val="22"/>
          <w:szCs w:val="22"/>
          <w:highlight w:val="yellow"/>
        </w:rPr>
        <w:t>[Opción 3</w:t>
      </w:r>
      <w:r>
        <w:rPr>
          <w:b/>
          <w:sz w:val="22"/>
          <w:szCs w:val="22"/>
        </w:rPr>
        <w:t>:</w:t>
      </w:r>
    </w:p>
    <w:p w14:paraId="0727FD86" w14:textId="77777777" w:rsidR="00F951E3" w:rsidRPr="00956A0F" w:rsidRDefault="00F951E3" w:rsidP="00F951E3">
      <w:pPr>
        <w:pStyle w:val="BodyText"/>
        <w:spacing w:before="120" w:after="120"/>
        <w:jc w:val="both"/>
        <w:rPr>
          <w:sz w:val="22"/>
          <w:szCs w:val="22"/>
        </w:rPr>
      </w:pPr>
      <w:r>
        <w:rPr>
          <w:sz w:val="22"/>
          <w:szCs w:val="22"/>
          <w:highlight w:val="yellow"/>
        </w:rPr>
        <w:t>[Presentación electrónica (gestión directa):</w:t>
      </w:r>
    </w:p>
    <w:p w14:paraId="4EF19983" w14:textId="6308FF08" w:rsidR="003436FE" w:rsidRPr="002A75C6" w:rsidRDefault="003436FE" w:rsidP="003436FE">
      <w:pPr>
        <w:pStyle w:val="BodyText"/>
        <w:spacing w:before="120" w:after="120"/>
        <w:jc w:val="both"/>
        <w:rPr>
          <w:sz w:val="22"/>
          <w:szCs w:val="22"/>
          <w:highlight w:val="lightGray"/>
        </w:rPr>
      </w:pPr>
      <w:r>
        <w:rPr>
          <w:sz w:val="22"/>
          <w:szCs w:val="22"/>
          <w:highlight w:val="lightGray"/>
        </w:rPr>
        <w:t xml:space="preserve">Se celebrará una </w:t>
      </w:r>
      <w:r>
        <w:rPr>
          <w:b/>
          <w:sz w:val="22"/>
          <w:szCs w:val="22"/>
          <w:highlight w:val="lightGray"/>
        </w:rPr>
        <w:t>reunión informativa</w:t>
      </w:r>
      <w:r>
        <w:rPr>
          <w:sz w:val="22"/>
          <w:szCs w:val="22"/>
          <w:highlight w:val="lightGray"/>
        </w:rPr>
        <w:t xml:space="preserve"> el &lt; </w:t>
      </w:r>
      <w:r>
        <w:rPr>
          <w:sz w:val="22"/>
          <w:szCs w:val="22"/>
          <w:highlight w:val="yellow"/>
        </w:rPr>
        <w:t xml:space="preserve">fecha, al menos 21 días antes de que finalice el plazo de presentación de las ofertas </w:t>
      </w:r>
      <w:r>
        <w:rPr>
          <w:sz w:val="22"/>
          <w:szCs w:val="22"/>
          <w:highlight w:val="lightGray"/>
        </w:rPr>
        <w:t xml:space="preserve">&gt; a las &lt; </w:t>
      </w:r>
      <w:r>
        <w:rPr>
          <w:sz w:val="22"/>
          <w:szCs w:val="22"/>
          <w:highlight w:val="yellow"/>
        </w:rPr>
        <w:t>hora</w:t>
      </w:r>
      <w:r>
        <w:rPr>
          <w:sz w:val="22"/>
          <w:szCs w:val="22"/>
          <w:highlight w:val="lightGray"/>
        </w:rPr>
        <w:t xml:space="preserve"> &gt; (zona horaria del lugar de la reunión) en &lt; </w:t>
      </w:r>
      <w:r>
        <w:rPr>
          <w:sz w:val="22"/>
          <w:szCs w:val="22"/>
          <w:highlight w:val="yellow"/>
        </w:rPr>
        <w:t>dirección</w:t>
      </w:r>
      <w:r>
        <w:rPr>
          <w:sz w:val="22"/>
          <w:szCs w:val="22"/>
          <w:highlight w:val="lightGray"/>
        </w:rPr>
        <w:t xml:space="preserve"> &gt; para responder a las preguntas sobre el expediente de licitación que se hayan enviado por escrito o se planteen durante la reunión. El contenido de esta se hará constar en acta</w:t>
      </w:r>
      <w:r w:rsidR="00D22624" w:rsidRPr="002A75C6">
        <w:rPr>
          <w:sz w:val="22"/>
          <w:szCs w:val="22"/>
          <w:highlight w:val="lightGray"/>
          <w:vertAlign w:val="superscript"/>
        </w:rPr>
        <w:fldChar w:fldCharType="begin"/>
      </w:r>
      <w:r w:rsidR="00D22624" w:rsidRPr="002A75C6">
        <w:rPr>
          <w:sz w:val="22"/>
          <w:szCs w:val="22"/>
          <w:highlight w:val="lightGray"/>
          <w:vertAlign w:val="superscript"/>
        </w:rPr>
        <w:instrText xml:space="preserve"> NOTEREF _Ref69126024 \h </w:instrText>
      </w:r>
      <w:r w:rsidR="00402958" w:rsidRPr="002A75C6">
        <w:rPr>
          <w:sz w:val="22"/>
          <w:szCs w:val="22"/>
          <w:highlight w:val="lightGray"/>
          <w:vertAlign w:val="superscript"/>
        </w:rPr>
        <w:instrText xml:space="preserve"> \* MERGEFORMAT </w:instrText>
      </w:r>
      <w:r w:rsidR="00D22624" w:rsidRPr="002A75C6">
        <w:rPr>
          <w:sz w:val="22"/>
          <w:szCs w:val="22"/>
          <w:highlight w:val="lightGray"/>
          <w:vertAlign w:val="superscript"/>
        </w:rPr>
      </w:r>
      <w:r w:rsidR="00D22624" w:rsidRPr="002A75C6">
        <w:rPr>
          <w:sz w:val="22"/>
          <w:szCs w:val="22"/>
          <w:highlight w:val="lightGray"/>
          <w:vertAlign w:val="superscript"/>
        </w:rPr>
        <w:fldChar w:fldCharType="separate"/>
      </w:r>
      <w:r w:rsidR="00D22624" w:rsidRPr="002A75C6">
        <w:rPr>
          <w:sz w:val="22"/>
          <w:szCs w:val="22"/>
          <w:highlight w:val="lightGray"/>
          <w:vertAlign w:val="superscript"/>
        </w:rPr>
        <w:t>3</w:t>
      </w:r>
      <w:r w:rsidR="00D22624" w:rsidRPr="002A75C6">
        <w:rPr>
          <w:sz w:val="22"/>
          <w:szCs w:val="22"/>
          <w:highlight w:val="lightGray"/>
          <w:vertAlign w:val="superscript"/>
        </w:rPr>
        <w:fldChar w:fldCharType="end"/>
      </w:r>
      <w:r>
        <w:rPr>
          <w:sz w:val="22"/>
          <w:szCs w:val="22"/>
          <w:highlight w:val="lightGray"/>
        </w:rPr>
        <w:t xml:space="preserve">, que se publicará en el sitio web </w:t>
      </w:r>
      <w:r w:rsidR="006F2B10" w:rsidRPr="006F2B10">
        <w:rPr>
          <w:sz w:val="22"/>
          <w:szCs w:val="22"/>
          <w:highlight w:val="lightGray"/>
        </w:rPr>
        <w:t>F&amp;T portal</w:t>
      </w:r>
      <w:r>
        <w:rPr>
          <w:sz w:val="22"/>
          <w:szCs w:val="22"/>
          <w:highlight w:val="lightGray"/>
        </w:rPr>
        <w:t>, junto con las eventuales aclaraciones en respuesta a preguntas escritas que no se aborden durante la reunión, como muy tarde 8 días antes de que finalice el plazo de presentación de las ofertas. El sitio web se actualizará periódicamente y es responsabilidad de los licitadores comprobar las actualizaciones y modificaciones que se produzcan durante el plazo de presentación de ofertas. Todos los costes ocasionados por la asistencia a esta reunión correrán a cargo de los licitadores.</w:t>
      </w:r>
    </w:p>
    <w:p w14:paraId="259B15D3" w14:textId="77777777" w:rsidR="003436FE" w:rsidRPr="002A75C6" w:rsidRDefault="003436FE" w:rsidP="003436FE">
      <w:pPr>
        <w:pStyle w:val="BodyText"/>
        <w:spacing w:before="120" w:after="120"/>
        <w:jc w:val="both"/>
        <w:rPr>
          <w:sz w:val="22"/>
          <w:szCs w:val="22"/>
          <w:highlight w:val="lightGray"/>
        </w:rPr>
      </w:pPr>
      <w:r>
        <w:rPr>
          <w:sz w:val="22"/>
          <w:szCs w:val="22"/>
          <w:highlight w:val="lightGray"/>
        </w:rPr>
        <w:t>No se prevé la realización de ninguna visita sobre el terreno.</w:t>
      </w:r>
    </w:p>
    <w:p w14:paraId="49A11452" w14:textId="77777777" w:rsidR="003436FE" w:rsidRDefault="003436FE" w:rsidP="003436FE">
      <w:pPr>
        <w:pStyle w:val="BodyText"/>
        <w:spacing w:before="120" w:after="120"/>
        <w:jc w:val="both"/>
        <w:rPr>
          <w:sz w:val="22"/>
          <w:szCs w:val="22"/>
        </w:rPr>
      </w:pPr>
      <w:r>
        <w:rPr>
          <w:sz w:val="22"/>
          <w:szCs w:val="22"/>
          <w:highlight w:val="lightGray"/>
        </w:rPr>
        <w:t>No se organizarán visitas de licitadores individuales durante el procedimiento.]</w:t>
      </w:r>
    </w:p>
    <w:p w14:paraId="4395715E" w14:textId="77777777" w:rsidR="00F951E3" w:rsidRDefault="00F951E3" w:rsidP="00F951E3">
      <w:pPr>
        <w:pStyle w:val="BodyText"/>
        <w:spacing w:before="120" w:after="120"/>
        <w:jc w:val="both"/>
        <w:rPr>
          <w:sz w:val="22"/>
          <w:szCs w:val="22"/>
        </w:rPr>
      </w:pPr>
      <w:r>
        <w:rPr>
          <w:sz w:val="22"/>
          <w:szCs w:val="22"/>
          <w:highlight w:val="yellow"/>
        </w:rPr>
        <w:t>[Presentación en papel (gestión indirecta):</w:t>
      </w:r>
    </w:p>
    <w:p w14:paraId="572B0C59" w14:textId="6ABDB8F7" w:rsidR="00F951E3" w:rsidRPr="002A75C6" w:rsidRDefault="00F951E3" w:rsidP="00F951E3">
      <w:pPr>
        <w:pStyle w:val="BodyText"/>
        <w:spacing w:before="120" w:after="120"/>
        <w:jc w:val="both"/>
        <w:rPr>
          <w:sz w:val="22"/>
          <w:szCs w:val="22"/>
          <w:highlight w:val="lightGray"/>
        </w:rPr>
      </w:pPr>
      <w:r>
        <w:rPr>
          <w:sz w:val="22"/>
          <w:szCs w:val="22"/>
          <w:highlight w:val="lightGray"/>
        </w:rPr>
        <w:t xml:space="preserve">Se celebrará una </w:t>
      </w:r>
      <w:r>
        <w:rPr>
          <w:b/>
          <w:bCs/>
          <w:sz w:val="22"/>
          <w:szCs w:val="22"/>
          <w:highlight w:val="lightGray"/>
        </w:rPr>
        <w:t>reunión informativa</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reunión)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reunión informativa se responderá a las preguntas sobre el expediente de licitación que se hayan enviado por escrito o se planteen en la reunión. El contenido de esta se hará constar en acta</w:t>
      </w:r>
      <w:r w:rsidR="001D7DE1" w:rsidRPr="002A75C6">
        <w:rPr>
          <w:sz w:val="22"/>
          <w:szCs w:val="22"/>
          <w:highlight w:val="lightGray"/>
          <w:vertAlign w:val="superscript"/>
        </w:rPr>
        <w:fldChar w:fldCharType="begin"/>
      </w:r>
      <w:r w:rsidR="001D7DE1" w:rsidRPr="002A75C6">
        <w:rPr>
          <w:sz w:val="22"/>
          <w:szCs w:val="22"/>
          <w:highlight w:val="lightGray"/>
          <w:vertAlign w:val="superscript"/>
        </w:rPr>
        <w:instrText xml:space="preserve"> NOTEREF _Ref69126024 \h  \* MERGEFORMAT </w:instrText>
      </w:r>
      <w:r w:rsidR="001D7DE1" w:rsidRPr="002A75C6">
        <w:rPr>
          <w:sz w:val="22"/>
          <w:szCs w:val="22"/>
          <w:highlight w:val="lightGray"/>
          <w:vertAlign w:val="superscript"/>
        </w:rPr>
      </w:r>
      <w:r w:rsidR="001D7DE1" w:rsidRPr="002A75C6">
        <w:rPr>
          <w:sz w:val="22"/>
          <w:szCs w:val="22"/>
          <w:highlight w:val="lightGray"/>
          <w:vertAlign w:val="superscript"/>
        </w:rPr>
        <w:fldChar w:fldCharType="separate"/>
      </w:r>
      <w:r w:rsidR="001D7DE1" w:rsidRPr="002A75C6">
        <w:rPr>
          <w:sz w:val="22"/>
          <w:szCs w:val="22"/>
          <w:highlight w:val="lightGray"/>
          <w:vertAlign w:val="superscript"/>
        </w:rPr>
        <w:t>3</w:t>
      </w:r>
      <w:r w:rsidR="001D7DE1" w:rsidRPr="002A75C6">
        <w:rPr>
          <w:sz w:val="22"/>
          <w:szCs w:val="22"/>
          <w:highlight w:val="lightGray"/>
          <w:vertAlign w:val="superscript"/>
        </w:rPr>
        <w:fldChar w:fldCharType="end"/>
      </w:r>
      <w:r>
        <w:rPr>
          <w:sz w:val="22"/>
          <w:szCs w:val="22"/>
          <w:highlight w:val="lightGray"/>
        </w:rPr>
        <w:t xml:space="preserve">, que será enviada por escrito a todos los licitadores, junto con las eventuales aclaraciones en respuesta a preguntas escritas que no se aborden durante la reunión, como muy tarde 8 días antes de que finalice el plazo de presentación de las ofertas. </w:t>
      </w:r>
    </w:p>
    <w:p w14:paraId="29858D12" w14:textId="77777777" w:rsidR="00F951E3" w:rsidRPr="002A75C6" w:rsidRDefault="00F951E3" w:rsidP="00F951E3">
      <w:pPr>
        <w:pStyle w:val="BodyText"/>
        <w:spacing w:before="120" w:after="120"/>
        <w:jc w:val="both"/>
        <w:rPr>
          <w:sz w:val="22"/>
          <w:szCs w:val="22"/>
          <w:highlight w:val="lightGray"/>
        </w:rPr>
      </w:pPr>
      <w:r>
        <w:rPr>
          <w:sz w:val="22"/>
          <w:szCs w:val="22"/>
          <w:highlight w:val="lightGray"/>
        </w:rPr>
        <w:t>Todos los costes ocasionados por la asistencia a esta reunión correrán a cargo de los licitadores.</w:t>
      </w:r>
    </w:p>
    <w:p w14:paraId="0381C41C" w14:textId="77777777" w:rsidR="00F951E3" w:rsidRPr="002A75C6" w:rsidRDefault="00F951E3" w:rsidP="00F951E3">
      <w:pPr>
        <w:pStyle w:val="BodyText"/>
        <w:spacing w:before="120" w:after="120"/>
        <w:jc w:val="both"/>
        <w:rPr>
          <w:sz w:val="22"/>
          <w:szCs w:val="22"/>
          <w:highlight w:val="lightGray"/>
        </w:rPr>
      </w:pPr>
      <w:r>
        <w:rPr>
          <w:sz w:val="22"/>
          <w:szCs w:val="22"/>
          <w:highlight w:val="lightGray"/>
        </w:rPr>
        <w:t>No se prevé la realización de ninguna visita sobre el terreno.</w:t>
      </w:r>
    </w:p>
    <w:p w14:paraId="3B231AE5" w14:textId="0B6DD365" w:rsidR="00F951E3" w:rsidRPr="002B370E" w:rsidRDefault="00F951E3" w:rsidP="003436FE">
      <w:pPr>
        <w:pStyle w:val="BodyText"/>
        <w:spacing w:before="120" w:after="120"/>
        <w:jc w:val="both"/>
        <w:rPr>
          <w:sz w:val="22"/>
          <w:szCs w:val="22"/>
        </w:rPr>
      </w:pPr>
      <w:r>
        <w:rPr>
          <w:sz w:val="22"/>
          <w:szCs w:val="22"/>
          <w:highlight w:val="lightGray"/>
        </w:rPr>
        <w:t>No se organizarán visitas de licitadores individuales durante el procedimiento.]</w:t>
      </w:r>
    </w:p>
    <w:p w14:paraId="4CCB8B0C" w14:textId="0F53803E" w:rsidR="003436FE" w:rsidRDefault="003436FE" w:rsidP="003436FE">
      <w:pPr>
        <w:pStyle w:val="BodyText"/>
        <w:spacing w:before="120" w:after="120"/>
        <w:jc w:val="both"/>
        <w:rPr>
          <w:b/>
          <w:sz w:val="22"/>
          <w:szCs w:val="22"/>
        </w:rPr>
      </w:pPr>
      <w:r>
        <w:rPr>
          <w:b/>
          <w:sz w:val="22"/>
          <w:szCs w:val="22"/>
          <w:highlight w:val="yellow"/>
        </w:rPr>
        <w:lastRenderedPageBreak/>
        <w:t>[Opción 4</w:t>
      </w:r>
      <w:r>
        <w:rPr>
          <w:b/>
          <w:sz w:val="22"/>
          <w:szCs w:val="22"/>
        </w:rPr>
        <w:t>:</w:t>
      </w:r>
    </w:p>
    <w:p w14:paraId="63967A65" w14:textId="116B86FE" w:rsidR="00F951E3" w:rsidRPr="002B370E" w:rsidRDefault="00F951E3" w:rsidP="003436FE">
      <w:pPr>
        <w:pStyle w:val="BodyText"/>
        <w:spacing w:before="120" w:after="120"/>
        <w:jc w:val="both"/>
        <w:rPr>
          <w:b/>
          <w:sz w:val="22"/>
          <w:szCs w:val="22"/>
        </w:rPr>
      </w:pPr>
      <w:r>
        <w:rPr>
          <w:sz w:val="22"/>
          <w:szCs w:val="22"/>
          <w:highlight w:val="yellow"/>
        </w:rPr>
        <w:t>[Presentación electrónica (gestión directa):</w:t>
      </w:r>
    </w:p>
    <w:p w14:paraId="1EE25C18" w14:textId="6B2CBF07" w:rsidR="00510846" w:rsidRPr="002A75C6" w:rsidRDefault="00510846" w:rsidP="00510846">
      <w:pPr>
        <w:pStyle w:val="PRAGHeading2"/>
        <w:numPr>
          <w:ilvl w:val="0"/>
          <w:numId w:val="0"/>
        </w:numPr>
        <w:jc w:val="both"/>
        <w:rPr>
          <w:snapToGrid/>
          <w:sz w:val="22"/>
          <w:szCs w:val="22"/>
          <w:highlight w:val="lightGray"/>
        </w:rPr>
      </w:pPr>
      <w:r>
        <w:rPr>
          <w:snapToGrid/>
          <w:sz w:val="22"/>
          <w:szCs w:val="22"/>
          <w:highlight w:val="lightGray"/>
        </w:rPr>
        <w:t xml:space="preserve">Las aclaraciones se publicarán en el sitio web </w:t>
      </w:r>
      <w:r w:rsidR="006F2B10" w:rsidRPr="006F2B10">
        <w:rPr>
          <w:sz w:val="22"/>
          <w:szCs w:val="22"/>
          <w:highlight w:val="lightGray"/>
        </w:rPr>
        <w:t>F&amp;T portal</w:t>
      </w:r>
      <w:r>
        <w:rPr>
          <w:snapToGrid/>
          <w:sz w:val="22"/>
          <w:szCs w:val="22"/>
          <w:highlight w:val="lightGray"/>
        </w:rPr>
        <w:t xml:space="preserve"> a más tardar 8 días antes de que finalice el plazo de presentación de las ofertas. El sitio web se actualizará periódicamente y es responsabilidad de los licitadores comprobar las actualizaciones y modificaciones que se produzcan durante el plazo de presentación de las ofertas.</w:t>
      </w:r>
    </w:p>
    <w:p w14:paraId="60BF7BDD" w14:textId="77777777" w:rsidR="003436FE" w:rsidRPr="002A75C6" w:rsidRDefault="003436FE" w:rsidP="003436FE">
      <w:pPr>
        <w:pStyle w:val="BodyText"/>
        <w:spacing w:before="120" w:after="120"/>
        <w:jc w:val="both"/>
        <w:rPr>
          <w:sz w:val="22"/>
          <w:szCs w:val="22"/>
          <w:highlight w:val="lightGray"/>
        </w:rPr>
      </w:pPr>
      <w:r>
        <w:rPr>
          <w:sz w:val="22"/>
          <w:szCs w:val="22"/>
          <w:highlight w:val="lightGray"/>
        </w:rPr>
        <w:t>No se ha previsto la celebración de ninguna reunión aclaratoria.</w:t>
      </w:r>
    </w:p>
    <w:p w14:paraId="2CFFB91C" w14:textId="742D20F9" w:rsidR="003436FE" w:rsidRPr="002A75C6" w:rsidRDefault="003436FE" w:rsidP="003436FE">
      <w:pPr>
        <w:pStyle w:val="BodyText"/>
        <w:spacing w:before="120" w:after="120"/>
        <w:jc w:val="both"/>
        <w:rPr>
          <w:sz w:val="22"/>
          <w:szCs w:val="22"/>
          <w:highlight w:val="lightGray"/>
        </w:rPr>
      </w:pPr>
      <w:r>
        <w:rPr>
          <w:sz w:val="22"/>
          <w:szCs w:val="22"/>
          <w:highlight w:val="lightGray"/>
        </w:rPr>
        <w:t xml:space="preserve">Se organizará una </w:t>
      </w:r>
      <w:r>
        <w:rPr>
          <w:b/>
          <w:bCs/>
          <w:sz w:val="22"/>
          <w:szCs w:val="22"/>
          <w:highlight w:val="lightGray"/>
        </w:rPr>
        <w:t>visita sobre el terreno</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visita)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visita sobre el terreno, los licitadores potenciales podrán familiarizarse con el proyecto y las condiciones locales. Los eventuales licitadores deben escribir a la dirección antes indicada para confirmar su intención de asistir a la visita sobre el terreno. Durante la visita sobre el terreno no se dará información complementaria ni se harán aclaraciones sobre el expediente de licitación. El Órgano de Contratación hará estas aclaraciones del modo indicado anteriormente. Todos los costes ocasionados por la visita sobre el terreno correrán a cargo de los licitadores.</w:t>
      </w:r>
    </w:p>
    <w:p w14:paraId="696D2942" w14:textId="77777777" w:rsidR="003436FE" w:rsidRDefault="003436FE" w:rsidP="003436FE">
      <w:pPr>
        <w:pStyle w:val="BodyText"/>
        <w:spacing w:before="120" w:after="120"/>
        <w:jc w:val="both"/>
        <w:rPr>
          <w:sz w:val="22"/>
          <w:szCs w:val="22"/>
        </w:rPr>
      </w:pPr>
      <w:bookmarkStart w:id="4" w:name="_Ref499614274"/>
      <w:r>
        <w:rPr>
          <w:sz w:val="22"/>
          <w:szCs w:val="22"/>
          <w:highlight w:val="lightGray"/>
        </w:rPr>
        <w:t>No se organizarán visitas de licitadores individuales durante el procedimiento.]</w:t>
      </w:r>
    </w:p>
    <w:p w14:paraId="1BD4AAC3" w14:textId="77777777" w:rsidR="00F951E3" w:rsidRDefault="00F951E3" w:rsidP="00F951E3">
      <w:pPr>
        <w:pStyle w:val="BodyText"/>
        <w:spacing w:before="120" w:after="120"/>
        <w:jc w:val="both"/>
        <w:rPr>
          <w:sz w:val="22"/>
          <w:szCs w:val="22"/>
        </w:rPr>
      </w:pPr>
      <w:r>
        <w:rPr>
          <w:sz w:val="22"/>
          <w:szCs w:val="22"/>
          <w:highlight w:val="yellow"/>
        </w:rPr>
        <w:t>[Presentación en papel (gestión indirecta):</w:t>
      </w:r>
    </w:p>
    <w:p w14:paraId="48A7AFE4" w14:textId="0256F7C8" w:rsidR="00E740DD" w:rsidRPr="002A75C6" w:rsidRDefault="00E740DD" w:rsidP="00E740DD">
      <w:pPr>
        <w:pStyle w:val="BodyText"/>
        <w:spacing w:before="120" w:after="120"/>
        <w:jc w:val="both"/>
        <w:rPr>
          <w:sz w:val="22"/>
          <w:szCs w:val="22"/>
          <w:highlight w:val="lightGray"/>
        </w:rPr>
      </w:pPr>
      <w:r>
        <w:rPr>
          <w:sz w:val="22"/>
          <w:szCs w:val="22"/>
          <w:highlight w:val="lightGray"/>
        </w:rPr>
        <w:t xml:space="preserve">Las eventuales aclaraciones del expediente de licitación serán enviadas simultáneamente y por escrito a todos los licitadores al menos 8 días antes de que finalice el plazo de presentación de las ofertas. </w:t>
      </w:r>
    </w:p>
    <w:p w14:paraId="64138861" w14:textId="77777777" w:rsidR="00E740DD" w:rsidRPr="002A75C6" w:rsidRDefault="00E740DD" w:rsidP="00E740DD">
      <w:pPr>
        <w:pStyle w:val="BodyText"/>
        <w:spacing w:before="120" w:after="120"/>
        <w:jc w:val="both"/>
        <w:rPr>
          <w:sz w:val="22"/>
          <w:szCs w:val="22"/>
          <w:highlight w:val="lightGray"/>
        </w:rPr>
      </w:pPr>
      <w:r>
        <w:rPr>
          <w:sz w:val="22"/>
          <w:szCs w:val="22"/>
          <w:highlight w:val="lightGray"/>
        </w:rPr>
        <w:t>No se ha previsto la celebración de ninguna reunión aclaratoria.</w:t>
      </w:r>
    </w:p>
    <w:p w14:paraId="5C63E72D" w14:textId="5D6C68EE" w:rsidR="00E740DD" w:rsidRPr="002A75C6" w:rsidRDefault="00E740DD" w:rsidP="00E740DD">
      <w:pPr>
        <w:pStyle w:val="BodyText"/>
        <w:spacing w:before="120" w:after="120"/>
        <w:jc w:val="both"/>
        <w:rPr>
          <w:sz w:val="22"/>
          <w:szCs w:val="22"/>
          <w:highlight w:val="lightGray"/>
        </w:rPr>
      </w:pPr>
      <w:r>
        <w:rPr>
          <w:sz w:val="22"/>
          <w:szCs w:val="22"/>
          <w:highlight w:val="lightGray"/>
        </w:rPr>
        <w:t xml:space="preserve">Se organizará una </w:t>
      </w:r>
      <w:r>
        <w:rPr>
          <w:b/>
          <w:bCs/>
          <w:sz w:val="22"/>
          <w:szCs w:val="22"/>
          <w:highlight w:val="lightGray"/>
        </w:rPr>
        <w:t>visita sobre el terreno</w:t>
      </w:r>
      <w:r>
        <w:rPr>
          <w:sz w:val="22"/>
          <w:szCs w:val="22"/>
          <w:highlight w:val="lightGray"/>
        </w:rPr>
        <w:t xml:space="preserve"> el &lt;</w:t>
      </w:r>
      <w:r>
        <w:rPr>
          <w:sz w:val="22"/>
          <w:szCs w:val="22"/>
        </w:rPr>
        <w:t xml:space="preserve"> </w:t>
      </w:r>
      <w:r>
        <w:rPr>
          <w:sz w:val="22"/>
          <w:szCs w:val="22"/>
          <w:highlight w:val="yellow"/>
        </w:rPr>
        <w:t>fecha, al menos 21 días antes de que finalice el plazo de presentación de las ofertas</w:t>
      </w:r>
      <w:r>
        <w:rPr>
          <w:sz w:val="22"/>
          <w:szCs w:val="22"/>
          <w:highlight w:val="lightGray"/>
        </w:rPr>
        <w:t xml:space="preserve"> &gt; a las &lt;</w:t>
      </w:r>
      <w:r>
        <w:rPr>
          <w:sz w:val="22"/>
          <w:szCs w:val="22"/>
        </w:rPr>
        <w:t xml:space="preserve"> </w:t>
      </w:r>
      <w:r>
        <w:rPr>
          <w:sz w:val="22"/>
          <w:szCs w:val="22"/>
          <w:highlight w:val="yellow"/>
        </w:rPr>
        <w:t>hora</w:t>
      </w:r>
      <w:r>
        <w:rPr>
          <w:sz w:val="22"/>
          <w:szCs w:val="22"/>
          <w:highlight w:val="lightGray"/>
        </w:rPr>
        <w:t xml:space="preserve"> &gt; (zona horaria del lugar de la visita) en &lt;</w:t>
      </w:r>
      <w:r>
        <w:rPr>
          <w:sz w:val="22"/>
          <w:szCs w:val="22"/>
        </w:rPr>
        <w:t xml:space="preserve"> </w:t>
      </w:r>
      <w:r>
        <w:rPr>
          <w:sz w:val="22"/>
          <w:szCs w:val="22"/>
          <w:highlight w:val="yellow"/>
        </w:rPr>
        <w:t>dirección</w:t>
      </w:r>
      <w:r>
        <w:rPr>
          <w:sz w:val="22"/>
          <w:szCs w:val="22"/>
        </w:rPr>
        <w:t xml:space="preserve"> </w:t>
      </w:r>
      <w:r>
        <w:rPr>
          <w:sz w:val="22"/>
          <w:szCs w:val="22"/>
          <w:highlight w:val="lightGray"/>
        </w:rPr>
        <w:t>&gt;</w:t>
      </w:r>
      <w:r>
        <w:rPr>
          <w:sz w:val="22"/>
          <w:szCs w:val="22"/>
        </w:rPr>
        <w:t>.</w:t>
      </w:r>
      <w:r>
        <w:rPr>
          <w:sz w:val="22"/>
          <w:szCs w:val="22"/>
          <w:highlight w:val="lightGray"/>
        </w:rPr>
        <w:t xml:space="preserve"> Durante la visita sobre el terreno, los licitadores potenciales podrán familiarizarse con el proyecto y las condiciones locales. Los eventuales licitadores deben escribir a la dirección antes indicada para confirmar su intención de asistir a la visita sobre el terreno. Durante la visita sobre el terreno no se dará información complementaria ni se harán aclaraciones sobre el expediente de licitación. El Órgano de Contratación hará estas aclaraciones del modo indicado anteriormente. Todos los costes ocasionados por la visita sobre el terreno correrán a cargo de los licitadores.</w:t>
      </w:r>
    </w:p>
    <w:p w14:paraId="7FA87F70" w14:textId="77777777" w:rsidR="00E740DD" w:rsidRPr="002B370E" w:rsidRDefault="00E740DD" w:rsidP="00E740DD">
      <w:pPr>
        <w:pStyle w:val="BodyText"/>
        <w:spacing w:before="120" w:after="120"/>
        <w:jc w:val="both"/>
        <w:rPr>
          <w:sz w:val="22"/>
          <w:szCs w:val="22"/>
        </w:rPr>
      </w:pPr>
      <w:r>
        <w:rPr>
          <w:sz w:val="22"/>
          <w:szCs w:val="22"/>
          <w:highlight w:val="lightGray"/>
        </w:rPr>
        <w:t>No se organizarán visitas de licitadores individuales durante el procedimiento.]</w:t>
      </w:r>
    </w:p>
    <w:p w14:paraId="7E2DE092" w14:textId="77777777" w:rsidR="00E740DD" w:rsidRPr="002B370E" w:rsidRDefault="00E740DD" w:rsidP="003436FE">
      <w:pPr>
        <w:pStyle w:val="BodyText"/>
        <w:spacing w:before="120" w:after="120"/>
        <w:jc w:val="both"/>
        <w:rPr>
          <w:sz w:val="22"/>
          <w:szCs w:val="22"/>
        </w:rPr>
      </w:pPr>
    </w:p>
    <w:p w14:paraId="410D4F07" w14:textId="77777777" w:rsidR="003436FE" w:rsidRPr="002B370E" w:rsidRDefault="003436FE" w:rsidP="003436FE">
      <w:pPr>
        <w:keepNext/>
        <w:numPr>
          <w:ilvl w:val="0"/>
          <w:numId w:val="26"/>
        </w:numPr>
        <w:spacing w:before="120" w:after="120"/>
        <w:jc w:val="both"/>
        <w:rPr>
          <w:b/>
          <w:sz w:val="24"/>
          <w:szCs w:val="24"/>
        </w:rPr>
      </w:pPr>
      <w:bookmarkStart w:id="5" w:name="_Ref499982672"/>
      <w:r>
        <w:rPr>
          <w:b/>
          <w:sz w:val="24"/>
          <w:szCs w:val="24"/>
        </w:rPr>
        <w:t>Presentación de las ofertas</w:t>
      </w:r>
      <w:bookmarkEnd w:id="4"/>
      <w:bookmarkEnd w:id="5"/>
    </w:p>
    <w:p w14:paraId="369DA17A" w14:textId="77777777" w:rsidR="003D6F7B" w:rsidRDefault="00F958AD" w:rsidP="00442485">
      <w:pPr>
        <w:spacing w:before="120" w:after="120"/>
        <w:jc w:val="both"/>
        <w:rPr>
          <w:sz w:val="22"/>
          <w:szCs w:val="22"/>
        </w:rPr>
      </w:pPr>
      <w:r>
        <w:rPr>
          <w:sz w:val="22"/>
          <w:szCs w:val="22"/>
          <w:highlight w:val="yellow"/>
        </w:rPr>
        <w:t>[Presentación electrónica (gestión directa):</w:t>
      </w:r>
      <w:r>
        <w:rPr>
          <w:sz w:val="22"/>
          <w:szCs w:val="22"/>
        </w:rPr>
        <w:t xml:space="preserve"> </w:t>
      </w:r>
    </w:p>
    <w:p w14:paraId="5848884E" w14:textId="2EA969AD" w:rsidR="003D6F7B" w:rsidRPr="002A75C6" w:rsidRDefault="003D6F7B" w:rsidP="00442485">
      <w:pPr>
        <w:pStyle w:val="Numbered"/>
        <w:numPr>
          <w:ilvl w:val="0"/>
          <w:numId w:val="0"/>
        </w:numPr>
        <w:spacing w:beforeLines="120" w:before="288" w:afterLines="60" w:after="144"/>
        <w:rPr>
          <w:sz w:val="22"/>
          <w:szCs w:val="22"/>
          <w:highlight w:val="lightGray"/>
        </w:rPr>
      </w:pPr>
      <w:r>
        <w:rPr>
          <w:sz w:val="22"/>
          <w:szCs w:val="22"/>
          <w:highlight w:val="lightGray"/>
        </w:rPr>
        <w:t>Las ofertas deberán presentarse exclusivamente a través del sistema de presentación electrónica (</w:t>
      </w:r>
      <w:proofErr w:type="spellStart"/>
      <w:r>
        <w:rPr>
          <w:sz w:val="22"/>
          <w:szCs w:val="22"/>
          <w:highlight w:val="lightGray"/>
        </w:rPr>
        <w:t>eSubmission</w:t>
      </w:r>
      <w:proofErr w:type="spellEnd"/>
      <w:r>
        <w:rPr>
          <w:sz w:val="22"/>
          <w:szCs w:val="22"/>
          <w:highlight w:val="lightGray"/>
        </w:rPr>
        <w:t xml:space="preserve">), accesible mediante un enlace en </w:t>
      </w:r>
      <w:r w:rsidR="006F2B10" w:rsidRPr="006F2B10">
        <w:rPr>
          <w:sz w:val="22"/>
          <w:szCs w:val="22"/>
          <w:highlight w:val="lightGray"/>
        </w:rPr>
        <w:t>F&amp;T portal</w:t>
      </w:r>
      <w:r w:rsidR="00BE3823" w:rsidRPr="002A75C6">
        <w:rPr>
          <w:rStyle w:val="FootnoteReference"/>
          <w:sz w:val="22"/>
          <w:szCs w:val="22"/>
          <w:highlight w:val="lightGray"/>
        </w:rPr>
        <w:footnoteReference w:id="3"/>
      </w:r>
      <w:r>
        <w:rPr>
          <w:sz w:val="22"/>
          <w:szCs w:val="22"/>
          <w:highlight w:val="lightGray"/>
        </w:rPr>
        <w:t xml:space="preserve">. Las ofertas </w:t>
      </w:r>
      <w:r>
        <w:rPr>
          <w:sz w:val="22"/>
          <w:szCs w:val="22"/>
          <w:highlight w:val="lightGray"/>
        </w:rPr>
        <w:lastRenderedPageBreak/>
        <w:t>presentadas por cualquier otro medio (por correo electrónico o por escrito) no se tendrán en cuenta.</w:t>
      </w:r>
    </w:p>
    <w:p w14:paraId="0D97370E" w14:textId="6D1F0653" w:rsidR="008B776B" w:rsidRPr="002A75C6" w:rsidRDefault="003D6F7B" w:rsidP="008B776B">
      <w:pPr>
        <w:jc w:val="both"/>
        <w:rPr>
          <w:sz w:val="22"/>
          <w:szCs w:val="22"/>
          <w:highlight w:val="lightGray"/>
        </w:rPr>
      </w:pPr>
      <w:r>
        <w:rPr>
          <w:sz w:val="22"/>
          <w:szCs w:val="22"/>
          <w:highlight w:val="lightGray"/>
        </w:rPr>
        <w:t xml:space="preserve">Para presentar una oferta a través de </w:t>
      </w:r>
      <w:proofErr w:type="spellStart"/>
      <w:r>
        <w:rPr>
          <w:sz w:val="22"/>
          <w:szCs w:val="22"/>
          <w:highlight w:val="lightGray"/>
        </w:rPr>
        <w:t>eSubmission</w:t>
      </w:r>
      <w:proofErr w:type="spellEnd"/>
      <w:r>
        <w:rPr>
          <w:sz w:val="22"/>
          <w:szCs w:val="22"/>
          <w:highlight w:val="lightGray"/>
        </w:rPr>
        <w:t xml:space="preserve">, los operadores económicos deberán inscribirse en el </w:t>
      </w:r>
      <w:hyperlink r:id="rId13" w:history="1">
        <w:r>
          <w:rPr>
            <w:sz w:val="22"/>
            <w:szCs w:val="22"/>
            <w:highlight w:val="lightGray"/>
          </w:rPr>
          <w:t xml:space="preserve">registro de participantes </w:t>
        </w:r>
      </w:hyperlink>
      <w:r>
        <w:rPr>
          <w:sz w:val="22"/>
          <w:szCs w:val="22"/>
          <w:highlight w:val="lightGray"/>
        </w:rPr>
        <w:t>de la Comisión Europea, un registro en línea de las organizaciones que participan en las licitaciones o las convocatorias de propuestas de la UE. En el caso de consorcios, la presentación de ofertas deberá hacerse a través de una presentación en grupo que requiere que cada miembro del grupo se inscriba en el registro de participantes</w:t>
      </w:r>
      <w:r>
        <w:rPr>
          <w:rStyle w:val="Hyperlink"/>
          <w:sz w:val="22"/>
          <w:szCs w:val="22"/>
          <w:highlight w:val="lightGray"/>
        </w:rPr>
        <w:t>.</w:t>
      </w:r>
    </w:p>
    <w:p w14:paraId="71A20102" w14:textId="73671D69" w:rsidR="003D6F7B" w:rsidRPr="002A75C6" w:rsidRDefault="003D6F7B" w:rsidP="00442485">
      <w:pPr>
        <w:spacing w:before="100" w:after="100"/>
        <w:jc w:val="both"/>
        <w:rPr>
          <w:sz w:val="22"/>
          <w:szCs w:val="22"/>
          <w:highlight w:val="lightGray"/>
        </w:rPr>
      </w:pPr>
      <w:r>
        <w:rPr>
          <w:sz w:val="22"/>
          <w:szCs w:val="22"/>
          <w:highlight w:val="lightGray"/>
        </w:rPr>
        <w:t xml:space="preserve">Al inscribirse, cada organización obtiene un código de identificación de participante (CIP, número de nueve dígitos), que sirve de identificador único en el citado registro.  Al preparar las ofertas en </w:t>
      </w:r>
      <w:proofErr w:type="spellStart"/>
      <w:r>
        <w:rPr>
          <w:sz w:val="22"/>
          <w:szCs w:val="22"/>
          <w:highlight w:val="lightGray"/>
        </w:rPr>
        <w:t>eSubmission</w:t>
      </w:r>
      <w:proofErr w:type="spellEnd"/>
      <w:r>
        <w:rPr>
          <w:sz w:val="22"/>
          <w:szCs w:val="22"/>
          <w:highlight w:val="lightGray"/>
        </w:rPr>
        <w:t>, los operadores económicos inscritos con anterioridad en el registro de participantes deberán utilizar los CIP de los que ya dispongan.</w:t>
      </w:r>
    </w:p>
    <w:p w14:paraId="22AF6FB3" w14:textId="7E9E15AF" w:rsidR="00FE1479" w:rsidRPr="001D7DF6" w:rsidRDefault="00FE1479" w:rsidP="00442485">
      <w:pPr>
        <w:spacing w:before="120" w:after="120"/>
        <w:jc w:val="both"/>
        <w:rPr>
          <w:sz w:val="22"/>
          <w:szCs w:val="22"/>
          <w:highlight w:val="lightGray"/>
        </w:rPr>
      </w:pPr>
      <w:r>
        <w:rPr>
          <w:b/>
          <w:bCs/>
          <w:sz w:val="22"/>
          <w:szCs w:val="22"/>
          <w:highlight w:val="lightGray"/>
        </w:rPr>
        <w:t xml:space="preserve">El plazo de recepción de las ofertas se mencionará en </w:t>
      </w:r>
      <w:r w:rsidR="006F2B10" w:rsidRPr="00820892">
        <w:rPr>
          <w:b/>
          <w:bCs/>
          <w:sz w:val="22"/>
          <w:szCs w:val="22"/>
          <w:highlight w:val="lightGray"/>
        </w:rPr>
        <w:t>F&amp;T portal</w:t>
      </w:r>
      <w:r>
        <w:rPr>
          <w:sz w:val="22"/>
          <w:szCs w:val="22"/>
          <w:highlight w:val="lightGray"/>
        </w:rPr>
        <w:t xml:space="preserve">. </w:t>
      </w:r>
    </w:p>
    <w:p w14:paraId="78CFD18E" w14:textId="1C1AD7CC" w:rsidR="003D6F7B" w:rsidRPr="002A75C6" w:rsidRDefault="003D6F7B" w:rsidP="00442485">
      <w:pPr>
        <w:pStyle w:val="Numbered"/>
        <w:numPr>
          <w:ilvl w:val="0"/>
          <w:numId w:val="0"/>
        </w:numPr>
        <w:spacing w:beforeLines="120" w:before="288" w:afterLines="60" w:after="144"/>
        <w:rPr>
          <w:sz w:val="22"/>
          <w:szCs w:val="22"/>
          <w:highlight w:val="lightGray"/>
        </w:rPr>
      </w:pPr>
      <w:r>
        <w:rPr>
          <w:sz w:val="22"/>
          <w:szCs w:val="22"/>
          <w:highlight w:val="lightGray"/>
        </w:rPr>
        <w:t xml:space="preserve">Las ofertas que se reciban después del plazo de recepción serán desestimadas. El acuse de recibo generado por </w:t>
      </w:r>
      <w:proofErr w:type="spellStart"/>
      <w:r>
        <w:rPr>
          <w:sz w:val="22"/>
          <w:szCs w:val="22"/>
          <w:highlight w:val="lightGray"/>
        </w:rPr>
        <w:t>eSubmission</w:t>
      </w:r>
      <w:proofErr w:type="spellEnd"/>
      <w:r>
        <w:rPr>
          <w:sz w:val="22"/>
          <w:szCs w:val="22"/>
          <w:highlight w:val="lightGray"/>
        </w:rPr>
        <w:t>, en el que se indican la fecha y la hora oficiales de la recepción de la oferta (sello de tiempo), es el documento que acredita la presentación de la oferta dentro del plazo establecido</w:t>
      </w:r>
      <w:r w:rsidR="00BE3823" w:rsidRPr="002A75C6">
        <w:rPr>
          <w:rStyle w:val="FootnoteReference"/>
          <w:sz w:val="22"/>
          <w:szCs w:val="22"/>
          <w:highlight w:val="lightGray"/>
        </w:rPr>
        <w:footnoteReference w:id="4"/>
      </w:r>
      <w:r w:rsidR="006152C2">
        <w:rPr>
          <w:sz w:val="22"/>
          <w:szCs w:val="22"/>
          <w:highlight w:val="lightGray"/>
        </w:rPr>
        <w:t>.</w:t>
      </w:r>
    </w:p>
    <w:p w14:paraId="384A6900" w14:textId="326ADD81" w:rsidR="0075795B" w:rsidRDefault="003D6F7B" w:rsidP="00442485">
      <w:pPr>
        <w:spacing w:beforeLines="120" w:before="288" w:afterLines="60" w:after="144"/>
        <w:jc w:val="both"/>
        <w:rPr>
          <w:sz w:val="22"/>
          <w:szCs w:val="22"/>
        </w:rPr>
      </w:pPr>
      <w:r>
        <w:rPr>
          <w:sz w:val="22"/>
          <w:szCs w:val="22"/>
          <w:highlight w:val="lightGray"/>
        </w:rPr>
        <w:t>Los licitadores deberán cerciorarse de que las ofertas que presenten contengan toda la información y la documentación exigidas por el Órgano de Contratación en el momento de la presentación, según lo establecido en los pliegos de contratación.]</w:t>
      </w:r>
    </w:p>
    <w:p w14:paraId="0981D486" w14:textId="77777777" w:rsidR="003D6F7B" w:rsidRPr="00506C7B" w:rsidRDefault="00F958AD" w:rsidP="00442485">
      <w:pPr>
        <w:spacing w:beforeLines="120" w:before="288" w:afterLines="60" w:after="144"/>
        <w:jc w:val="both"/>
        <w:rPr>
          <w:sz w:val="22"/>
          <w:szCs w:val="22"/>
          <w:highlight w:val="yellow"/>
        </w:rPr>
      </w:pPr>
      <w:r>
        <w:rPr>
          <w:sz w:val="22"/>
          <w:szCs w:val="22"/>
          <w:highlight w:val="yellow"/>
        </w:rPr>
        <w:t xml:space="preserve">[Presentación en papel (gestión indirecta): </w:t>
      </w:r>
    </w:p>
    <w:p w14:paraId="44440593" w14:textId="77777777" w:rsidR="007E6A55" w:rsidRDefault="003436FE" w:rsidP="003436FE">
      <w:pPr>
        <w:spacing w:before="120" w:after="120"/>
        <w:jc w:val="both"/>
        <w:rPr>
          <w:sz w:val="22"/>
          <w:szCs w:val="22"/>
          <w:highlight w:val="yellow"/>
        </w:rPr>
      </w:pPr>
      <w:r>
        <w:rPr>
          <w:sz w:val="22"/>
          <w:szCs w:val="22"/>
          <w:highlight w:val="lightGray"/>
        </w:rPr>
        <w:t>Las ofertas se enviarán al Órgano de Contratación antes de</w:t>
      </w:r>
      <w:r>
        <w:rPr>
          <w:sz w:val="22"/>
          <w:szCs w:val="22"/>
          <w:highlight w:val="yellow"/>
        </w:rPr>
        <w:t xml:space="preserve"> &lt; fecha y hora límites, al menos 50 días después de la fecha de la invitación a licitar, indicando un día laborable y al término de una jornada laboral &gt;. </w:t>
      </w:r>
    </w:p>
    <w:p w14:paraId="54C2C0D7" w14:textId="6BAC18E5" w:rsidR="003436FE" w:rsidRPr="002B370E" w:rsidRDefault="003436FE" w:rsidP="003436FE">
      <w:pPr>
        <w:spacing w:before="120" w:after="120"/>
        <w:jc w:val="both"/>
        <w:rPr>
          <w:sz w:val="22"/>
          <w:szCs w:val="22"/>
        </w:rPr>
      </w:pPr>
      <w:r>
        <w:rPr>
          <w:sz w:val="22"/>
          <w:szCs w:val="22"/>
          <w:highlight w:val="lightGray"/>
        </w:rPr>
        <w:t>Deberán constar de los documentos solicitados en la cláusula 4 y enviarse:</w:t>
      </w:r>
    </w:p>
    <w:p w14:paraId="4E6CDFBB" w14:textId="77777777" w:rsidR="003436FE" w:rsidRPr="002A75C6" w:rsidRDefault="003436FE" w:rsidP="00442485">
      <w:pPr>
        <w:keepNext/>
        <w:keepLines/>
        <w:spacing w:before="120" w:after="120"/>
        <w:ind w:left="360"/>
        <w:jc w:val="both"/>
        <w:rPr>
          <w:sz w:val="22"/>
          <w:szCs w:val="22"/>
          <w:highlight w:val="lightGray"/>
        </w:rPr>
      </w:pPr>
      <w:r>
        <w:rPr>
          <w:b/>
          <w:sz w:val="22"/>
          <w:szCs w:val="22"/>
          <w:highlight w:val="lightGray"/>
        </w:rPr>
        <w:t>O BIEN</w:t>
      </w:r>
      <w:r>
        <w:rPr>
          <w:sz w:val="22"/>
          <w:szCs w:val="22"/>
          <w:highlight w:val="lightGray"/>
        </w:rPr>
        <w:t xml:space="preserve"> por correo o por servicio de mensajería, en cuyo caso dará fe de la presentación el matasellos de correos o la fecha del recibo del depósito</w:t>
      </w:r>
      <w:r w:rsidR="00883936" w:rsidRPr="002A75C6">
        <w:rPr>
          <w:rStyle w:val="FootnoteReference"/>
          <w:sz w:val="22"/>
          <w:szCs w:val="22"/>
          <w:highlight w:val="lightGray"/>
        </w:rPr>
        <w:footnoteReference w:id="5"/>
      </w:r>
      <w:r>
        <w:rPr>
          <w:sz w:val="22"/>
          <w:szCs w:val="22"/>
          <w:highlight w:val="lightGray"/>
        </w:rPr>
        <w:t>, a:</w:t>
      </w:r>
    </w:p>
    <w:p w14:paraId="41CFEACA" w14:textId="3F663B1A" w:rsidR="003436FE" w:rsidRDefault="00902DD5" w:rsidP="003436FE">
      <w:pPr>
        <w:pStyle w:val="Blockquote"/>
        <w:keepNext/>
        <w:keepLines/>
        <w:spacing w:before="120" w:after="120"/>
        <w:jc w:val="center"/>
        <w:rPr>
          <w:rStyle w:val="Emphasis"/>
          <w:i w:val="0"/>
          <w:sz w:val="22"/>
          <w:szCs w:val="22"/>
        </w:rPr>
      </w:pPr>
      <w:r>
        <w:rPr>
          <w:sz w:val="22"/>
          <w:szCs w:val="22"/>
          <w:highlight w:val="yellow"/>
        </w:rPr>
        <w:t>[</w:t>
      </w:r>
      <w:r>
        <w:rPr>
          <w:rStyle w:val="Emphasis"/>
          <w:sz w:val="22"/>
          <w:szCs w:val="22"/>
        </w:rPr>
        <w:t>&lt;</w:t>
      </w:r>
      <w:r>
        <w:rPr>
          <w:rStyle w:val="Emphasis"/>
          <w:i w:val="0"/>
          <w:sz w:val="22"/>
          <w:szCs w:val="22"/>
          <w:highlight w:val="yellow"/>
        </w:rPr>
        <w:t>dirección del Órgano de Contratación</w:t>
      </w:r>
      <w:r>
        <w:rPr>
          <w:rStyle w:val="Emphasis"/>
          <w:sz w:val="22"/>
          <w:szCs w:val="22"/>
        </w:rPr>
        <w:t>&gt;</w:t>
      </w:r>
      <w:r>
        <w:rPr>
          <w:rStyle w:val="Emphasis"/>
          <w:i w:val="0"/>
          <w:sz w:val="22"/>
          <w:szCs w:val="22"/>
          <w:highlight w:val="yellow"/>
        </w:rPr>
        <w:t>]</w:t>
      </w:r>
    </w:p>
    <w:p w14:paraId="606F29C3" w14:textId="77777777" w:rsidR="003436FE" w:rsidRPr="002B370E" w:rsidRDefault="003436FE" w:rsidP="00695F78">
      <w:pPr>
        <w:pStyle w:val="Blockquote"/>
        <w:keepNext/>
        <w:keepLines/>
        <w:spacing w:before="120" w:after="120"/>
        <w:jc w:val="both"/>
        <w:rPr>
          <w:sz w:val="22"/>
          <w:szCs w:val="22"/>
        </w:rPr>
      </w:pPr>
      <w:r>
        <w:rPr>
          <w:b/>
          <w:sz w:val="22"/>
          <w:szCs w:val="22"/>
          <w:highlight w:val="lightGray"/>
        </w:rPr>
        <w:t>O</w:t>
      </w:r>
      <w:r>
        <w:rPr>
          <w:sz w:val="22"/>
          <w:szCs w:val="22"/>
          <w:highlight w:val="lightGray"/>
        </w:rPr>
        <w:t xml:space="preserve"> </w:t>
      </w:r>
      <w:r>
        <w:rPr>
          <w:rStyle w:val="Strong"/>
          <w:b w:val="0"/>
          <w:sz w:val="22"/>
          <w:szCs w:val="22"/>
          <w:highlight w:val="lightGray"/>
        </w:rPr>
        <w:t>mediante entrega en mano</w:t>
      </w:r>
      <w:r>
        <w:rPr>
          <w:sz w:val="22"/>
          <w:szCs w:val="22"/>
          <w:highlight w:val="lightGray"/>
        </w:rPr>
        <w:t xml:space="preserve"> por el participante en persona o por su agente</w:t>
      </w:r>
      <w:r>
        <w:rPr>
          <w:rStyle w:val="Strong"/>
          <w:b w:val="0"/>
          <w:sz w:val="22"/>
          <w:szCs w:val="22"/>
          <w:highlight w:val="lightGray"/>
        </w:rPr>
        <w:t xml:space="preserve"> directamente</w:t>
      </w:r>
      <w:r>
        <w:rPr>
          <w:sz w:val="22"/>
          <w:szCs w:val="22"/>
          <w:highlight w:val="lightGray"/>
        </w:rPr>
        <w:t xml:space="preserve"> al Órgano de Contratación, contra </w:t>
      </w:r>
      <w:r>
        <w:rPr>
          <w:rStyle w:val="Strong"/>
          <w:b w:val="0"/>
          <w:sz w:val="22"/>
          <w:szCs w:val="22"/>
          <w:highlight w:val="lightGray"/>
        </w:rPr>
        <w:t>acuse de recibo fechado y firmado</w:t>
      </w:r>
      <w:r>
        <w:rPr>
          <w:sz w:val="22"/>
          <w:szCs w:val="22"/>
          <w:highlight w:val="lightGray"/>
        </w:rPr>
        <w:t>, en cuyo caso la prueba la constituirá dicho acuse de recibo, en la siguiente dirección:</w:t>
      </w:r>
    </w:p>
    <w:p w14:paraId="23A20AA3" w14:textId="064A543E" w:rsidR="003436FE" w:rsidRDefault="00902DD5" w:rsidP="003436FE">
      <w:pPr>
        <w:pStyle w:val="Blockquote"/>
        <w:spacing w:before="120" w:after="120"/>
        <w:jc w:val="center"/>
        <w:rPr>
          <w:rStyle w:val="Emphasis"/>
          <w:i w:val="0"/>
          <w:sz w:val="22"/>
          <w:szCs w:val="22"/>
        </w:rPr>
      </w:pPr>
      <w:r>
        <w:rPr>
          <w:sz w:val="22"/>
          <w:highlight w:val="yellow"/>
        </w:rPr>
        <w:t>[</w:t>
      </w:r>
      <w:r>
        <w:rPr>
          <w:rStyle w:val="Emphasis"/>
          <w:i w:val="0"/>
          <w:sz w:val="22"/>
          <w:highlight w:val="yellow"/>
        </w:rPr>
        <w:t>Dirección del Órgano de Contratación, &lt;</w:t>
      </w:r>
      <w:r>
        <w:rPr>
          <w:sz w:val="22"/>
          <w:highlight w:val="yellow"/>
        </w:rPr>
        <w:t>indicando el horario de apertura</w:t>
      </w:r>
      <w:r>
        <w:rPr>
          <w:sz w:val="22"/>
        </w:rPr>
        <w:t xml:space="preserve"> </w:t>
      </w:r>
      <w:r>
        <w:rPr>
          <w:rStyle w:val="Emphasis"/>
          <w:sz w:val="22"/>
          <w:szCs w:val="22"/>
        </w:rPr>
        <w:t>&gt;</w:t>
      </w:r>
      <w:r>
        <w:rPr>
          <w:rStyle w:val="Emphasis"/>
          <w:i w:val="0"/>
          <w:sz w:val="22"/>
          <w:szCs w:val="22"/>
          <w:highlight w:val="yellow"/>
        </w:rPr>
        <w:t>]</w:t>
      </w:r>
      <w:r>
        <w:rPr>
          <w:rStyle w:val="Emphasis"/>
          <w:sz w:val="22"/>
          <w:szCs w:val="22"/>
        </w:rPr>
        <w:br/>
      </w:r>
    </w:p>
    <w:p w14:paraId="104420D5" w14:textId="313B99D7" w:rsidR="007F7A0E" w:rsidRPr="002A75C6" w:rsidRDefault="00743575" w:rsidP="0075795B">
      <w:pPr>
        <w:pStyle w:val="Blockquote"/>
        <w:ind w:left="0" w:right="26"/>
        <w:jc w:val="both"/>
        <w:rPr>
          <w:rStyle w:val="Strong"/>
          <w:snapToGrid/>
          <w:sz w:val="22"/>
          <w:szCs w:val="22"/>
          <w:highlight w:val="lightGray"/>
        </w:rPr>
      </w:pPr>
      <w:r>
        <w:rPr>
          <w:sz w:val="22"/>
          <w:szCs w:val="22"/>
          <w:highlight w:val="lightGray"/>
        </w:rPr>
        <w:t>Por motivos de eficiencia administrativa, el Órgano de Contratación podrá rechazar cualquier solicitud de participación u oferta presentada a tiempo al servicio postal pero recibida, por cualquier motivo que quede fuera del control del Órgano de Contratación, después de la fecha efectiva de aprobación del informe de preselección o del informe de evaluación, en caso de que la aceptación de solicitudes de participación u ofertas presentadas a tiempo, pero que hayan llegado tarde, retrase considerablemente el procedimiento de evaluación u obstaculice las decisiones ya adoptadas y notificadas.</w:t>
      </w:r>
    </w:p>
    <w:p w14:paraId="0BEB5E1D" w14:textId="36AA314A" w:rsidR="003436FE" w:rsidRPr="002A75C6" w:rsidRDefault="003436FE" w:rsidP="003436FE">
      <w:pPr>
        <w:spacing w:before="120" w:after="120"/>
        <w:jc w:val="both"/>
        <w:rPr>
          <w:sz w:val="22"/>
          <w:szCs w:val="22"/>
          <w:highlight w:val="lightGray"/>
        </w:rPr>
      </w:pPr>
      <w:r>
        <w:rPr>
          <w:rStyle w:val="Strong"/>
          <w:sz w:val="22"/>
          <w:szCs w:val="22"/>
          <w:highlight w:val="lightGray"/>
        </w:rPr>
        <w:t xml:space="preserve"> </w:t>
      </w:r>
      <w:r>
        <w:rPr>
          <w:sz w:val="22"/>
          <w:szCs w:val="22"/>
          <w:highlight w:val="lightGray"/>
        </w:rPr>
        <w:t xml:space="preserve">Las ofertas deben enviarse con arreglo al sistema de doble sobre, es decir, en un paquete o sobre exterior que contenga dos sobres distintos y precintados, uno con la mención: </w:t>
      </w:r>
      <w:r>
        <w:rPr>
          <w:b/>
          <w:bCs/>
          <w:sz w:val="22"/>
          <w:szCs w:val="22"/>
          <w:highlight w:val="lightGray"/>
        </w:rPr>
        <w:t>«Sobre A - Oferta técnica»</w:t>
      </w:r>
      <w:r>
        <w:rPr>
          <w:sz w:val="22"/>
          <w:szCs w:val="22"/>
          <w:highlight w:val="lightGray"/>
        </w:rPr>
        <w:t xml:space="preserve"> y otro con la mención </w:t>
      </w:r>
      <w:r>
        <w:rPr>
          <w:b/>
          <w:bCs/>
          <w:sz w:val="22"/>
          <w:szCs w:val="22"/>
          <w:highlight w:val="lightGray"/>
        </w:rPr>
        <w:t>«Sobre B - Oferta financiera»</w:t>
      </w:r>
      <w:r>
        <w:rPr>
          <w:sz w:val="22"/>
          <w:szCs w:val="22"/>
          <w:highlight w:val="lightGray"/>
        </w:rPr>
        <w:t>. Todas las partes de la oferta a excepción de la oferta financiera se presentarán en el sobre A (es decir, el formulario de presentación de la oferta, las declaraciones de exclusividad y de disponibilidad de los expertos principales y las demás declaraciones).</w:t>
      </w:r>
    </w:p>
    <w:p w14:paraId="5F86286B" w14:textId="77777777" w:rsidR="003436FE" w:rsidRPr="002A75C6" w:rsidRDefault="003436FE" w:rsidP="003436FE">
      <w:pPr>
        <w:spacing w:before="120" w:after="120"/>
        <w:jc w:val="both"/>
        <w:rPr>
          <w:sz w:val="22"/>
          <w:szCs w:val="22"/>
          <w:highlight w:val="lightGray"/>
        </w:rPr>
      </w:pPr>
      <w:r>
        <w:rPr>
          <w:sz w:val="22"/>
          <w:szCs w:val="22"/>
          <w:highlight w:val="lightGray"/>
        </w:rPr>
        <w:t xml:space="preserve">En el sobre exterior se consignará la siguiente información: </w:t>
      </w:r>
    </w:p>
    <w:p w14:paraId="38C97F51" w14:textId="77777777" w:rsidR="003436FE" w:rsidRPr="002A75C6" w:rsidRDefault="003436FE" w:rsidP="003436FE">
      <w:pPr>
        <w:numPr>
          <w:ilvl w:val="0"/>
          <w:numId w:val="24"/>
        </w:numPr>
        <w:tabs>
          <w:tab w:val="clear" w:pos="861"/>
        </w:tabs>
        <w:spacing w:before="120" w:after="120"/>
        <w:ind w:left="426" w:hanging="284"/>
        <w:rPr>
          <w:sz w:val="22"/>
          <w:szCs w:val="22"/>
          <w:highlight w:val="lightGray"/>
        </w:rPr>
      </w:pPr>
      <w:r>
        <w:rPr>
          <w:sz w:val="22"/>
          <w:szCs w:val="22"/>
          <w:highlight w:val="lightGray"/>
        </w:rPr>
        <w:t xml:space="preserve">la dirección para el envío de las ofertas indicada anteriormente; </w:t>
      </w:r>
    </w:p>
    <w:p w14:paraId="2526163A" w14:textId="77777777" w:rsidR="003436FE" w:rsidRPr="002A75C6" w:rsidRDefault="003436FE" w:rsidP="003436FE">
      <w:pPr>
        <w:numPr>
          <w:ilvl w:val="0"/>
          <w:numId w:val="24"/>
        </w:numPr>
        <w:tabs>
          <w:tab w:val="clear" w:pos="861"/>
        </w:tabs>
        <w:spacing w:before="120" w:after="120"/>
        <w:ind w:left="426" w:hanging="284"/>
        <w:rPr>
          <w:sz w:val="22"/>
          <w:szCs w:val="22"/>
          <w:highlight w:val="lightGray"/>
        </w:rPr>
      </w:pPr>
      <w:r>
        <w:rPr>
          <w:sz w:val="22"/>
          <w:szCs w:val="22"/>
          <w:highlight w:val="lightGray"/>
        </w:rPr>
        <w:t xml:space="preserve">código de referencia de la licitación (es decir, </w:t>
      </w:r>
      <w:r>
        <w:rPr>
          <w:b/>
          <w:sz w:val="22"/>
          <w:szCs w:val="22"/>
          <w:highlight w:val="lightGray"/>
        </w:rPr>
        <w:t>&lt;</w:t>
      </w:r>
      <w:r>
        <w:rPr>
          <w:sz w:val="22"/>
          <w:szCs w:val="22"/>
          <w:highlight w:val="yellow"/>
        </w:rPr>
        <w:t>referencia de publicación</w:t>
      </w:r>
      <w:r>
        <w:rPr>
          <w:b/>
          <w:sz w:val="22"/>
          <w:szCs w:val="22"/>
          <w:highlight w:val="lightGray"/>
        </w:rPr>
        <w:t>&gt;</w:t>
      </w:r>
      <w:r>
        <w:rPr>
          <w:sz w:val="22"/>
          <w:szCs w:val="22"/>
          <w:highlight w:val="lightGray"/>
        </w:rPr>
        <w:t>);</w:t>
      </w:r>
    </w:p>
    <w:p w14:paraId="412F73B4" w14:textId="77777777" w:rsidR="003436FE" w:rsidRPr="002B370E" w:rsidRDefault="003436FE" w:rsidP="003436FE">
      <w:pPr>
        <w:numPr>
          <w:ilvl w:val="0"/>
          <w:numId w:val="24"/>
        </w:numPr>
        <w:tabs>
          <w:tab w:val="clear" w:pos="861"/>
        </w:tabs>
        <w:spacing w:before="120" w:after="120"/>
        <w:ind w:left="426" w:hanging="284"/>
        <w:rPr>
          <w:sz w:val="22"/>
          <w:szCs w:val="22"/>
        </w:rPr>
      </w:pPr>
      <w:r>
        <w:rPr>
          <w:sz w:val="22"/>
          <w:szCs w:val="22"/>
          <w:highlight w:val="lightGray"/>
        </w:rPr>
        <w:t>la mención «No abrir antes de la sesión de apertura de plicas» y &lt;</w:t>
      </w:r>
      <w:r>
        <w:rPr>
          <w:sz w:val="22"/>
          <w:szCs w:val="22"/>
          <w:highlight w:val="yellow"/>
        </w:rPr>
        <w:t>frase equivalente en la lengua del país</w:t>
      </w:r>
      <w:r>
        <w:rPr>
          <w:sz w:val="22"/>
          <w:szCs w:val="22"/>
        </w:rPr>
        <w:t>&gt;;</w:t>
      </w:r>
    </w:p>
    <w:p w14:paraId="5476A8EA" w14:textId="77777777" w:rsidR="003436FE" w:rsidRPr="002A75C6" w:rsidRDefault="003436FE" w:rsidP="003436FE">
      <w:pPr>
        <w:numPr>
          <w:ilvl w:val="0"/>
          <w:numId w:val="24"/>
        </w:numPr>
        <w:tabs>
          <w:tab w:val="clear" w:pos="861"/>
        </w:tabs>
        <w:spacing w:before="120" w:after="120"/>
        <w:ind w:left="426" w:hanging="284"/>
        <w:rPr>
          <w:sz w:val="22"/>
          <w:szCs w:val="22"/>
          <w:highlight w:val="lightGray"/>
        </w:rPr>
      </w:pPr>
      <w:r>
        <w:rPr>
          <w:sz w:val="22"/>
          <w:szCs w:val="22"/>
          <w:highlight w:val="lightGray"/>
        </w:rPr>
        <w:t>el nombre del licitador.</w:t>
      </w:r>
    </w:p>
    <w:p w14:paraId="673B01C1" w14:textId="3A31A9F1" w:rsidR="003436FE" w:rsidRDefault="00B064AC" w:rsidP="003436FE">
      <w:pPr>
        <w:spacing w:before="120" w:after="120"/>
        <w:jc w:val="both"/>
        <w:rPr>
          <w:sz w:val="22"/>
          <w:szCs w:val="22"/>
        </w:rPr>
      </w:pPr>
      <w:r>
        <w:rPr>
          <w:sz w:val="22"/>
          <w:szCs w:val="22"/>
          <w:highlight w:val="lightGray"/>
        </w:rPr>
        <w:t>Cada sobre deberá incluir un índice de su contenido. Las páginas de las ofertas técnica y financiera irán numeradas</w:t>
      </w:r>
      <w:r>
        <w:rPr>
          <w:sz w:val="22"/>
          <w:szCs w:val="22"/>
        </w:rPr>
        <w:t>.]</w:t>
      </w:r>
    </w:p>
    <w:p w14:paraId="5DBF46C4" w14:textId="77777777" w:rsidR="003436FE" w:rsidRPr="002B370E" w:rsidRDefault="003436FE" w:rsidP="00632671">
      <w:pPr>
        <w:keepNext/>
        <w:numPr>
          <w:ilvl w:val="0"/>
          <w:numId w:val="26"/>
        </w:numPr>
        <w:spacing w:before="120" w:after="120"/>
        <w:jc w:val="both"/>
        <w:rPr>
          <w:b/>
          <w:sz w:val="24"/>
          <w:szCs w:val="24"/>
        </w:rPr>
      </w:pPr>
      <w:r>
        <w:rPr>
          <w:b/>
          <w:sz w:val="24"/>
          <w:szCs w:val="24"/>
        </w:rPr>
        <w:t>Modificación o retirada de las ofertas</w:t>
      </w:r>
    </w:p>
    <w:p w14:paraId="0E0ABE80" w14:textId="77777777" w:rsidR="00DB170E" w:rsidRDefault="00DB170E" w:rsidP="00442485">
      <w:pPr>
        <w:spacing w:before="120" w:after="120"/>
        <w:jc w:val="both"/>
        <w:rPr>
          <w:sz w:val="22"/>
          <w:szCs w:val="22"/>
        </w:rPr>
      </w:pPr>
      <w:r>
        <w:rPr>
          <w:sz w:val="22"/>
          <w:szCs w:val="22"/>
          <w:highlight w:val="yellow"/>
        </w:rPr>
        <w:t>[Presentación electrónica: Gestión directa:</w:t>
      </w:r>
      <w:r>
        <w:rPr>
          <w:sz w:val="22"/>
          <w:szCs w:val="22"/>
        </w:rPr>
        <w:t xml:space="preserve"> </w:t>
      </w:r>
    </w:p>
    <w:p w14:paraId="65D14B49" w14:textId="7A26C2AE" w:rsidR="003D6F7B" w:rsidRDefault="003D6F7B" w:rsidP="00442485">
      <w:pPr>
        <w:spacing w:before="120" w:after="120"/>
        <w:jc w:val="both"/>
        <w:rPr>
          <w:sz w:val="22"/>
          <w:szCs w:val="22"/>
        </w:rPr>
      </w:pPr>
      <w:r>
        <w:rPr>
          <w:sz w:val="22"/>
          <w:szCs w:val="22"/>
          <w:highlight w:val="lightGray"/>
        </w:rPr>
        <w:t>Tras la presentación de una oferta, pero antes de la fecha límite para la recepción de las ofertas, el licitador podrá retirar definitivamente su oferta</w:t>
      </w:r>
      <w:r w:rsidRPr="002A75C6">
        <w:rPr>
          <w:rStyle w:val="FootnoteReference"/>
          <w:sz w:val="22"/>
          <w:szCs w:val="22"/>
          <w:highlight w:val="lightGray"/>
        </w:rPr>
        <w:footnoteReference w:id="6"/>
      </w:r>
      <w:r>
        <w:rPr>
          <w:sz w:val="22"/>
          <w:szCs w:val="22"/>
          <w:highlight w:val="lightGray"/>
        </w:rPr>
        <w:t xml:space="preserve"> o retirarla y sustituirla por otra nueva</w:t>
      </w:r>
      <w:r w:rsidRPr="002A75C6">
        <w:rPr>
          <w:rStyle w:val="FootnoteReference"/>
          <w:sz w:val="22"/>
          <w:szCs w:val="22"/>
          <w:highlight w:val="lightGray"/>
        </w:rPr>
        <w:footnoteReference w:id="7"/>
      </w:r>
      <w:r>
        <w:rPr>
          <w:sz w:val="22"/>
          <w:szCs w:val="22"/>
          <w:highlight w:val="lightGray"/>
        </w:rPr>
        <w:t xml:space="preserve">. </w:t>
      </w:r>
      <w:proofErr w:type="spellStart"/>
      <w:r>
        <w:rPr>
          <w:sz w:val="22"/>
          <w:szCs w:val="22"/>
          <w:highlight w:val="lightGray"/>
        </w:rPr>
        <w:t>eSubmission</w:t>
      </w:r>
      <w:proofErr w:type="spellEnd"/>
      <w:r>
        <w:rPr>
          <w:sz w:val="22"/>
          <w:szCs w:val="22"/>
          <w:highlight w:val="lightGray"/>
        </w:rPr>
        <w:t xml:space="preserve"> generará un justificante que acreditará la retirada</w:t>
      </w:r>
      <w:r>
        <w:rPr>
          <w:sz w:val="22"/>
          <w:szCs w:val="22"/>
        </w:rPr>
        <w:t>.]</w:t>
      </w:r>
    </w:p>
    <w:p w14:paraId="69C36E2C" w14:textId="77777777" w:rsidR="003D6F7B" w:rsidRDefault="00DB170E" w:rsidP="003D6F7B">
      <w:pPr>
        <w:spacing w:before="120" w:after="120"/>
        <w:jc w:val="both"/>
        <w:rPr>
          <w:sz w:val="22"/>
          <w:szCs w:val="22"/>
        </w:rPr>
      </w:pPr>
      <w:r>
        <w:rPr>
          <w:sz w:val="22"/>
          <w:szCs w:val="22"/>
          <w:highlight w:val="yellow"/>
        </w:rPr>
        <w:t>[Presentación en papel: Gestión indirecta:</w:t>
      </w:r>
      <w:r>
        <w:rPr>
          <w:sz w:val="22"/>
          <w:szCs w:val="22"/>
        </w:rPr>
        <w:t xml:space="preserve"> </w:t>
      </w:r>
    </w:p>
    <w:p w14:paraId="09667BE8" w14:textId="77777777" w:rsidR="003436FE" w:rsidRPr="002A75C6" w:rsidRDefault="003436FE" w:rsidP="003436FE">
      <w:pPr>
        <w:spacing w:before="120" w:after="120"/>
        <w:jc w:val="both"/>
        <w:rPr>
          <w:sz w:val="22"/>
          <w:szCs w:val="22"/>
          <w:highlight w:val="lightGray"/>
        </w:rPr>
      </w:pPr>
      <w:r>
        <w:rPr>
          <w:sz w:val="22"/>
          <w:szCs w:val="22"/>
          <w:highlight w:val="lightGray"/>
        </w:rPr>
        <w:t>Los licitadores podrán modificar o retirar sus ofertas mediante notificación escrita antes de que finalice el plazo de presentación de ofertas. Después de este plazo no se podrán modificar las ofertas.</w:t>
      </w:r>
    </w:p>
    <w:p w14:paraId="3BAC38AA" w14:textId="3C078852" w:rsidR="003436FE" w:rsidRPr="002B370E" w:rsidRDefault="003436FE" w:rsidP="003436FE">
      <w:pPr>
        <w:spacing w:before="120" w:after="120"/>
        <w:jc w:val="both"/>
        <w:rPr>
          <w:sz w:val="22"/>
          <w:szCs w:val="22"/>
        </w:rPr>
      </w:pPr>
      <w:r>
        <w:rPr>
          <w:sz w:val="22"/>
          <w:szCs w:val="22"/>
          <w:highlight w:val="lightGray"/>
        </w:rPr>
        <w:t xml:space="preserve">Las notificaciones de modificación o retirada deberán prepararse y presentarse con arreglo a lo dispuesto en la cláusula </w:t>
      </w:r>
      <w:r w:rsidRPr="002A75C6">
        <w:rPr>
          <w:sz w:val="22"/>
          <w:szCs w:val="22"/>
          <w:highlight w:val="lightGray"/>
        </w:rPr>
        <w:fldChar w:fldCharType="begin"/>
      </w:r>
      <w:r w:rsidRPr="002A75C6">
        <w:rPr>
          <w:sz w:val="22"/>
          <w:szCs w:val="22"/>
          <w:highlight w:val="lightGray"/>
        </w:rPr>
        <w:instrText xml:space="preserve"> REF _Ref499982672 \r \h  \* MERGEFORMAT </w:instrText>
      </w:r>
      <w:r w:rsidRPr="002A75C6">
        <w:rPr>
          <w:sz w:val="22"/>
          <w:szCs w:val="22"/>
          <w:highlight w:val="lightGray"/>
        </w:rPr>
      </w:r>
      <w:r w:rsidRPr="002A75C6">
        <w:rPr>
          <w:sz w:val="22"/>
          <w:szCs w:val="22"/>
          <w:highlight w:val="lightGray"/>
        </w:rPr>
        <w:fldChar w:fldCharType="separate"/>
      </w:r>
      <w:r w:rsidR="003C5CBF" w:rsidRPr="002A75C6">
        <w:rPr>
          <w:sz w:val="22"/>
          <w:szCs w:val="22"/>
          <w:highlight w:val="lightGray"/>
        </w:rPr>
        <w:t>8</w:t>
      </w:r>
      <w:r w:rsidRPr="002A75C6">
        <w:rPr>
          <w:sz w:val="22"/>
          <w:szCs w:val="22"/>
          <w:highlight w:val="lightGray"/>
        </w:rPr>
        <w:fldChar w:fldCharType="end"/>
      </w:r>
      <w:r>
        <w:rPr>
          <w:sz w:val="22"/>
          <w:szCs w:val="22"/>
          <w:highlight w:val="lightGray"/>
        </w:rPr>
        <w:t>. El sobre exterior (y el sobre interior correspondiente) deberán llevar la referencia «Modificación» o «Retirada», según el caso.</w:t>
      </w:r>
      <w:r>
        <w:rPr>
          <w:sz w:val="22"/>
          <w:szCs w:val="22"/>
        </w:rPr>
        <w:t>]</w:t>
      </w:r>
    </w:p>
    <w:p w14:paraId="5906B33D" w14:textId="77777777" w:rsidR="003436FE" w:rsidRPr="002B370E" w:rsidRDefault="003436FE" w:rsidP="003436FE">
      <w:pPr>
        <w:keepNext/>
        <w:keepLines/>
        <w:numPr>
          <w:ilvl w:val="0"/>
          <w:numId w:val="26"/>
        </w:numPr>
        <w:spacing w:before="120" w:after="120"/>
        <w:jc w:val="both"/>
        <w:rPr>
          <w:b/>
          <w:sz w:val="24"/>
          <w:szCs w:val="24"/>
        </w:rPr>
      </w:pPr>
      <w:r>
        <w:rPr>
          <w:b/>
          <w:sz w:val="24"/>
          <w:szCs w:val="24"/>
        </w:rPr>
        <w:lastRenderedPageBreak/>
        <w:t>Costes de preparación de las ofertas</w:t>
      </w:r>
    </w:p>
    <w:p w14:paraId="7117110F" w14:textId="77777777" w:rsidR="003436FE" w:rsidRPr="002B370E" w:rsidRDefault="003436FE" w:rsidP="003436FE">
      <w:pPr>
        <w:keepNext/>
        <w:keepLines/>
        <w:spacing w:before="120" w:after="120"/>
        <w:jc w:val="both"/>
        <w:rPr>
          <w:sz w:val="22"/>
          <w:szCs w:val="22"/>
        </w:rPr>
      </w:pPr>
      <w:r>
        <w:rPr>
          <w:sz w:val="22"/>
          <w:szCs w:val="22"/>
        </w:rPr>
        <w:t>Los costes en que incurra el licitador para la preparación y la presentación de su oferta no serán reembolsables. El licitador se hará cargo de esos costes, incluso los que pueda ocasionar el entrevistar a los expertos propuestos.</w:t>
      </w:r>
    </w:p>
    <w:p w14:paraId="1CF66DDA" w14:textId="77777777" w:rsidR="003436FE" w:rsidRPr="002B370E" w:rsidRDefault="003436FE" w:rsidP="003436FE">
      <w:pPr>
        <w:numPr>
          <w:ilvl w:val="0"/>
          <w:numId w:val="26"/>
        </w:numPr>
        <w:spacing w:before="120" w:after="120"/>
        <w:jc w:val="both"/>
        <w:rPr>
          <w:b/>
          <w:sz w:val="24"/>
          <w:szCs w:val="24"/>
        </w:rPr>
      </w:pPr>
      <w:r>
        <w:rPr>
          <w:b/>
          <w:sz w:val="24"/>
          <w:szCs w:val="24"/>
        </w:rPr>
        <w:t>Propiedad de las ofertas</w:t>
      </w:r>
    </w:p>
    <w:p w14:paraId="34E11259" w14:textId="4FB6C9DE" w:rsidR="003436FE" w:rsidRPr="002B370E" w:rsidRDefault="003436FE" w:rsidP="003436FE">
      <w:pPr>
        <w:spacing w:before="120" w:after="120"/>
        <w:jc w:val="both"/>
        <w:rPr>
          <w:sz w:val="22"/>
          <w:szCs w:val="22"/>
        </w:rPr>
      </w:pPr>
      <w:r>
        <w:rPr>
          <w:sz w:val="22"/>
          <w:szCs w:val="22"/>
        </w:rPr>
        <w:t>Todas las ofertas recibidas en virtud de esta licitación pasan a ser propiedad del Órgano de Contratación.</w:t>
      </w:r>
    </w:p>
    <w:p w14:paraId="3989A51E" w14:textId="77777777" w:rsidR="003436FE" w:rsidRDefault="003436FE" w:rsidP="003436FE">
      <w:pPr>
        <w:numPr>
          <w:ilvl w:val="0"/>
          <w:numId w:val="26"/>
        </w:numPr>
        <w:spacing w:before="120" w:after="120"/>
        <w:jc w:val="both"/>
        <w:rPr>
          <w:b/>
          <w:sz w:val="24"/>
          <w:szCs w:val="24"/>
        </w:rPr>
      </w:pPr>
      <w:r>
        <w:rPr>
          <w:b/>
          <w:sz w:val="24"/>
          <w:szCs w:val="24"/>
        </w:rPr>
        <w:t>Evaluación de las ofertas</w:t>
      </w:r>
    </w:p>
    <w:p w14:paraId="70903FFF" w14:textId="77777777" w:rsidR="00862269" w:rsidRDefault="00862269" w:rsidP="00442485">
      <w:pPr>
        <w:pStyle w:val="Numbered"/>
        <w:numPr>
          <w:ilvl w:val="0"/>
          <w:numId w:val="0"/>
        </w:numPr>
        <w:spacing w:before="120" w:after="60"/>
        <w:rPr>
          <w:sz w:val="22"/>
          <w:szCs w:val="22"/>
        </w:rPr>
      </w:pPr>
      <w:r>
        <w:rPr>
          <w:sz w:val="22"/>
          <w:szCs w:val="22"/>
        </w:rPr>
        <w:t>La apertura de las ofertas recibidas no es pública.</w:t>
      </w:r>
    </w:p>
    <w:p w14:paraId="68F3FA24" w14:textId="77777777" w:rsidR="00862269" w:rsidRPr="00442485" w:rsidRDefault="00862269" w:rsidP="00442485">
      <w:pPr>
        <w:pStyle w:val="Numbered"/>
        <w:numPr>
          <w:ilvl w:val="0"/>
          <w:numId w:val="0"/>
        </w:numPr>
        <w:spacing w:before="120" w:after="60"/>
        <w:rPr>
          <w:sz w:val="22"/>
          <w:szCs w:val="22"/>
        </w:rPr>
      </w:pPr>
      <w:r>
        <w:rPr>
          <w:sz w:val="22"/>
          <w:szCs w:val="22"/>
        </w:rPr>
        <w:t>Una vez que el Órgano de Contratación haya procedido a la apertura de plicas, estas pasarán a ser de su propiedad y serán tratadas confidencialmente.</w:t>
      </w:r>
    </w:p>
    <w:p w14:paraId="72D0357B" w14:textId="77777777" w:rsidR="003436FE" w:rsidRPr="002B370E" w:rsidRDefault="003436FE" w:rsidP="003436FE">
      <w:pPr>
        <w:spacing w:before="120" w:after="120"/>
        <w:jc w:val="both"/>
        <w:rPr>
          <w:b/>
          <w:sz w:val="22"/>
          <w:szCs w:val="22"/>
        </w:rPr>
      </w:pPr>
      <w:r>
        <w:rPr>
          <w:b/>
          <w:sz w:val="22"/>
          <w:szCs w:val="22"/>
        </w:rPr>
        <w:t>12.1.</w:t>
      </w:r>
      <w:r>
        <w:rPr>
          <w:b/>
          <w:sz w:val="22"/>
          <w:szCs w:val="22"/>
        </w:rPr>
        <w:tab/>
        <w:t>Evaluación de las ofertas técnicas</w:t>
      </w:r>
    </w:p>
    <w:p w14:paraId="38A099EF" w14:textId="77777777" w:rsidR="003436FE" w:rsidRPr="002B370E" w:rsidRDefault="003436FE" w:rsidP="000E38EE">
      <w:pPr>
        <w:spacing w:before="120" w:after="120"/>
        <w:jc w:val="both"/>
        <w:rPr>
          <w:sz w:val="22"/>
          <w:szCs w:val="22"/>
        </w:rPr>
      </w:pPr>
      <w:r>
        <w:rPr>
          <w:sz w:val="22"/>
          <w:szCs w:val="22"/>
        </w:rPr>
        <w:t>La calidad de cada oferta técnica se evaluará con arreglo a los criterios de adjudicación y a su ponderación detallada en la tabla de evaluación que figura en la parte C del presente expediente de licitación. No se utilizará ningún otro criterio de adjudicación. Los criterios de adjudicación se examinarán con arreglo a los requisitos del Pliego de Condiciones.</w:t>
      </w:r>
    </w:p>
    <w:p w14:paraId="043E2F2F" w14:textId="12DD5CDF" w:rsidR="003436FE" w:rsidRPr="002A75C6" w:rsidRDefault="003436FE" w:rsidP="000E38EE">
      <w:pPr>
        <w:jc w:val="both"/>
        <w:rPr>
          <w:sz w:val="22"/>
          <w:szCs w:val="22"/>
          <w:highlight w:val="lightGray"/>
        </w:rPr>
      </w:pPr>
      <w:r>
        <w:rPr>
          <w:sz w:val="22"/>
          <w:szCs w:val="22"/>
        </w:rPr>
        <w:t xml:space="preserve">La evaluación de las ofertas técnicas seguirá los procedimientos expuestos en el apartado 3.4.10.3 de la Guía Práctica (disponible en el sitio web: </w:t>
      </w:r>
      <w:hyperlink r:id="rId14" w:history="1">
        <w:r w:rsidR="002C565F" w:rsidRPr="00A10CF4">
          <w:rPr>
            <w:rStyle w:val="Hyperlink"/>
            <w:sz w:val="22"/>
            <w:szCs w:val="22"/>
          </w:rPr>
          <w:t>https://wikis.ec.europa.eu/display/ExactExternalWikiES/3.+Contratos+de+servicios</w:t>
        </w:r>
      </w:hyperlink>
      <w:r>
        <w:rPr>
          <w:sz w:val="22"/>
          <w:szCs w:val="22"/>
        </w:rPr>
        <w:t>).</w:t>
      </w:r>
    </w:p>
    <w:p w14:paraId="60A4CAE1" w14:textId="77777777" w:rsidR="003436FE" w:rsidRPr="002B370E" w:rsidRDefault="003436FE" w:rsidP="003436FE">
      <w:pPr>
        <w:spacing w:before="120" w:after="120"/>
        <w:jc w:val="both"/>
        <w:rPr>
          <w:b/>
          <w:iCs/>
          <w:sz w:val="22"/>
          <w:szCs w:val="22"/>
        </w:rPr>
      </w:pPr>
      <w:r>
        <w:rPr>
          <w:b/>
          <w:iCs/>
          <w:sz w:val="22"/>
          <w:szCs w:val="22"/>
        </w:rPr>
        <w:t>12.1.1.</w:t>
      </w:r>
      <w:r>
        <w:rPr>
          <w:b/>
          <w:iCs/>
          <w:sz w:val="22"/>
          <w:szCs w:val="22"/>
        </w:rPr>
        <w:tab/>
        <w:t xml:space="preserve">Entrevistas </w:t>
      </w:r>
    </w:p>
    <w:p w14:paraId="2D080B68" w14:textId="77777777" w:rsidR="006A1730" w:rsidRPr="0050118C" w:rsidRDefault="003C2433" w:rsidP="003436FE">
      <w:pPr>
        <w:spacing w:before="120" w:after="120"/>
        <w:jc w:val="both"/>
        <w:rPr>
          <w:sz w:val="22"/>
          <w:szCs w:val="22"/>
        </w:rPr>
      </w:pPr>
      <w:r>
        <w:rPr>
          <w:sz w:val="22"/>
          <w:szCs w:val="22"/>
          <w:highlight w:val="yellow"/>
        </w:rPr>
        <w:t>Las entrevistas deberán constituir, por regla general, la práctica habitual cuando los expertos principales propuestos no tengan, según sus propios currículos, experiencia pertinente en proyectos de la UE. En el resto de los casos, resulta más adecuado que los servicios de la Comisión realicen comprobaciones o controles, especialmente para contratos en régimen de gestión directa. Las entrevistas deberán estar bien preparadas. Se incluirán en el expediente de licitación. Téngase en cuenta que, normalmente, no se entrevistará a los posibles expertos principales en un contrato de precio global.</w:t>
      </w:r>
    </w:p>
    <w:p w14:paraId="28AA5D50" w14:textId="6058C6C2" w:rsidR="003436FE" w:rsidRPr="002B370E" w:rsidRDefault="003436FE" w:rsidP="003436FE">
      <w:pPr>
        <w:spacing w:before="120" w:after="120"/>
        <w:jc w:val="both"/>
        <w:rPr>
          <w:sz w:val="22"/>
          <w:szCs w:val="22"/>
        </w:rPr>
      </w:pPr>
      <w:r>
        <w:rPr>
          <w:b/>
          <w:sz w:val="22"/>
          <w:szCs w:val="22"/>
        </w:rPr>
        <w:t>[</w:t>
      </w:r>
      <w:r>
        <w:rPr>
          <w:b/>
          <w:sz w:val="22"/>
          <w:szCs w:val="22"/>
          <w:highlight w:val="yellow"/>
        </w:rPr>
        <w:t>Opción 1 — Entrevista telefónica (o mediante herramientas de comunicación alternativas):</w:t>
      </w:r>
    </w:p>
    <w:p w14:paraId="2ACA994F" w14:textId="77777777" w:rsidR="003436FE" w:rsidRPr="002A75C6" w:rsidRDefault="003436FE" w:rsidP="003436FE">
      <w:pPr>
        <w:spacing w:before="120" w:after="120"/>
        <w:jc w:val="both"/>
        <w:rPr>
          <w:sz w:val="22"/>
          <w:szCs w:val="22"/>
          <w:highlight w:val="lightGray"/>
        </w:rPr>
      </w:pPr>
      <w:r>
        <w:rPr>
          <w:sz w:val="22"/>
          <w:szCs w:val="22"/>
          <w:highlight w:val="lightGray"/>
        </w:rPr>
        <w:t xml:space="preserve">El Comité de Evaluación podrá entrevistar a los expertos principales propuestos en las ofertas que cumplan los criterios técnicos, después de contar con sus conclusiones provisionales por escrito, pero antes de concluir la evaluación técnica. </w:t>
      </w:r>
    </w:p>
    <w:p w14:paraId="39683DF9" w14:textId="77777777" w:rsidR="003436FE" w:rsidRPr="002B370E" w:rsidRDefault="003436FE" w:rsidP="003436FE">
      <w:pPr>
        <w:spacing w:before="120" w:after="120"/>
        <w:jc w:val="both"/>
        <w:rPr>
          <w:sz w:val="22"/>
          <w:szCs w:val="22"/>
        </w:rPr>
      </w:pPr>
      <w:r>
        <w:rPr>
          <w:sz w:val="22"/>
          <w:szCs w:val="22"/>
          <w:highlight w:val="lightGray"/>
        </w:rPr>
        <w:t>Las entrevistas se desarrollarán por teléfono o a través de herramientas de comunicación alternativas. La fecha y hora de estas entrevistas serán confirmadas o notificadas al licitador con una antelación mínima de diez días. Si el licitador no pudiera participar en una entrevista por causas de fuerza mayor, se acordarán con el licitador una fecha y hora alternativas que convengan a ambas partes. Si el licitador no pudiera participar en la hora nuevamente acordada, su oferta será eliminada del proceso de evaluación.]</w:t>
      </w:r>
    </w:p>
    <w:p w14:paraId="6F1E3DDD" w14:textId="1E201160" w:rsidR="003436FE" w:rsidRPr="002B370E" w:rsidRDefault="003436FE" w:rsidP="00DB30DE">
      <w:pPr>
        <w:keepNext/>
        <w:keepLines/>
        <w:spacing w:before="120" w:after="120"/>
        <w:jc w:val="both"/>
        <w:rPr>
          <w:b/>
          <w:sz w:val="22"/>
          <w:szCs w:val="22"/>
        </w:rPr>
      </w:pPr>
      <w:r>
        <w:rPr>
          <w:b/>
          <w:sz w:val="22"/>
          <w:szCs w:val="22"/>
        </w:rPr>
        <w:t>[</w:t>
      </w:r>
      <w:r>
        <w:rPr>
          <w:b/>
          <w:sz w:val="22"/>
          <w:szCs w:val="22"/>
          <w:highlight w:val="yellow"/>
        </w:rPr>
        <w:t>Opción 2 — Entrevista presencial (asistencia física obligatoria):</w:t>
      </w:r>
    </w:p>
    <w:p w14:paraId="76384144" w14:textId="77777777" w:rsidR="003436FE" w:rsidRPr="00513581" w:rsidRDefault="003436FE" w:rsidP="003436FE">
      <w:pPr>
        <w:spacing w:before="120" w:after="120"/>
        <w:jc w:val="both"/>
        <w:rPr>
          <w:sz w:val="22"/>
          <w:szCs w:val="22"/>
          <w:highlight w:val="yellow"/>
        </w:rPr>
      </w:pPr>
      <w:r>
        <w:rPr>
          <w:sz w:val="22"/>
          <w:szCs w:val="22"/>
          <w:highlight w:val="yellow"/>
        </w:rPr>
        <w:t>Solo para casos excepcionales.</w:t>
      </w:r>
    </w:p>
    <w:p w14:paraId="672CC2D0" w14:textId="77777777" w:rsidR="003436FE" w:rsidRPr="002A75C6" w:rsidRDefault="003436FE" w:rsidP="003436FE">
      <w:pPr>
        <w:spacing w:before="120" w:after="120"/>
        <w:jc w:val="both"/>
        <w:rPr>
          <w:sz w:val="22"/>
          <w:szCs w:val="22"/>
          <w:highlight w:val="lightGray"/>
        </w:rPr>
      </w:pPr>
      <w:r>
        <w:rPr>
          <w:sz w:val="22"/>
          <w:szCs w:val="22"/>
          <w:highlight w:val="lightGray"/>
        </w:rPr>
        <w:lastRenderedPageBreak/>
        <w:t xml:space="preserve">El Comité de Evaluación podrá entrevistar a los expertos principales propuestos en las ofertas que cumplan los criterios técnicos, después de contar con sus conclusiones provisionales por escrito, pero antes de concluir la evaluación técnica. </w:t>
      </w:r>
    </w:p>
    <w:p w14:paraId="3B3AA22B" w14:textId="77777777" w:rsidR="003436FE" w:rsidRDefault="003436FE" w:rsidP="003436FE">
      <w:pPr>
        <w:spacing w:before="120" w:after="120"/>
        <w:jc w:val="both"/>
        <w:rPr>
          <w:sz w:val="22"/>
          <w:szCs w:val="22"/>
        </w:rPr>
      </w:pPr>
      <w:r>
        <w:rPr>
          <w:sz w:val="22"/>
          <w:szCs w:val="22"/>
          <w:highlight w:val="lightGray"/>
        </w:rPr>
        <w:t>La fecha y hora definitiva de estas entrevistas se confirmará o se notificará al licitador con una antelación mínima de diez días. En caso de fuerza mayor que impida la presencia del licitador en la entrevista, se acordará con él una cita alternativa que convenga a ambas partes. Si el licitador no acude a esta segunda cita, su oferta será eliminada del proceso de evaluación</w:t>
      </w:r>
      <w:proofErr w:type="gramStart"/>
      <w:r>
        <w:rPr>
          <w:sz w:val="22"/>
          <w:szCs w:val="22"/>
          <w:highlight w:val="lightGray"/>
        </w:rPr>
        <w:t>. ]</w:t>
      </w:r>
      <w:proofErr w:type="gramEnd"/>
    </w:p>
    <w:p w14:paraId="536C2815" w14:textId="4F47411A" w:rsidR="00294800" w:rsidRPr="00294800" w:rsidRDefault="00294800" w:rsidP="00294800">
      <w:pPr>
        <w:spacing w:before="120" w:after="120"/>
        <w:jc w:val="both"/>
        <w:rPr>
          <w:sz w:val="22"/>
          <w:szCs w:val="22"/>
        </w:rPr>
      </w:pPr>
      <w:r>
        <w:rPr>
          <w:sz w:val="22"/>
          <w:szCs w:val="22"/>
        </w:rPr>
        <w:t>[</w:t>
      </w:r>
      <w:r>
        <w:rPr>
          <w:b/>
          <w:sz w:val="22"/>
          <w:szCs w:val="22"/>
          <w:highlight w:val="yellow"/>
        </w:rPr>
        <w:t>Opción 3 – Ausencia de entrevistas:</w:t>
      </w:r>
    </w:p>
    <w:p w14:paraId="774A8D02" w14:textId="7F608806" w:rsidR="00294800" w:rsidRPr="00294800" w:rsidRDefault="00294800" w:rsidP="00294800">
      <w:pPr>
        <w:spacing w:before="120" w:after="120"/>
        <w:jc w:val="both"/>
        <w:rPr>
          <w:sz w:val="22"/>
          <w:szCs w:val="22"/>
        </w:rPr>
      </w:pPr>
      <w:r>
        <w:rPr>
          <w:sz w:val="22"/>
          <w:szCs w:val="22"/>
          <w:highlight w:val="lightGray"/>
        </w:rPr>
        <w:t>No se prevé la celebración de entrevistas.</w:t>
      </w:r>
      <w:r>
        <w:rPr>
          <w:sz w:val="22"/>
          <w:szCs w:val="22"/>
        </w:rPr>
        <w:t xml:space="preserve">] </w:t>
      </w:r>
    </w:p>
    <w:p w14:paraId="02108EB3" w14:textId="77777777" w:rsidR="003436FE" w:rsidRPr="002B370E" w:rsidRDefault="003436FE" w:rsidP="003436FE">
      <w:pPr>
        <w:keepNext/>
        <w:spacing w:before="120" w:after="120"/>
        <w:jc w:val="both"/>
        <w:rPr>
          <w:b/>
          <w:sz w:val="22"/>
          <w:szCs w:val="22"/>
        </w:rPr>
      </w:pPr>
      <w:r>
        <w:rPr>
          <w:b/>
          <w:sz w:val="22"/>
          <w:szCs w:val="22"/>
        </w:rPr>
        <w:t>12.2.</w:t>
      </w:r>
      <w:r>
        <w:rPr>
          <w:b/>
          <w:sz w:val="22"/>
          <w:szCs w:val="22"/>
        </w:rPr>
        <w:tab/>
        <w:t>Evaluación de las ofertas financieras</w:t>
      </w:r>
    </w:p>
    <w:p w14:paraId="503F1E00" w14:textId="476777D1" w:rsidR="008053C7" w:rsidRDefault="008053C7" w:rsidP="003436FE">
      <w:pPr>
        <w:spacing w:before="120" w:after="120"/>
        <w:jc w:val="both"/>
        <w:rPr>
          <w:sz w:val="22"/>
          <w:szCs w:val="22"/>
        </w:rPr>
      </w:pPr>
      <w:r>
        <w:rPr>
          <w:sz w:val="22"/>
          <w:szCs w:val="22"/>
        </w:rPr>
        <w:t>[</w:t>
      </w:r>
      <w:r>
        <w:rPr>
          <w:sz w:val="22"/>
          <w:szCs w:val="22"/>
          <w:highlight w:val="yellow"/>
        </w:rPr>
        <w:t>Presentación electrónica (gestión directa):</w:t>
      </w:r>
    </w:p>
    <w:p w14:paraId="206ECFF4" w14:textId="287D6500" w:rsidR="008053C7" w:rsidRDefault="008053C7" w:rsidP="003436FE">
      <w:pPr>
        <w:spacing w:before="120" w:after="120"/>
        <w:jc w:val="both"/>
        <w:rPr>
          <w:sz w:val="22"/>
          <w:szCs w:val="22"/>
        </w:rPr>
      </w:pPr>
      <w:r>
        <w:rPr>
          <w:sz w:val="22"/>
          <w:szCs w:val="22"/>
          <w:highlight w:val="lightGray"/>
        </w:rPr>
        <w:t xml:space="preserve">Una vez concluida la evaluación técnica, se valorarán las ofertas financieras correspondientes a las ofertas que no hayan sido eliminadas durante la evaluación técnica (las que hayan obtenido una puntuación media de 75 puntos o más). Las ofertas que sobrepasen el presupuesto máximo disponible para el contrato no serán aceptadas y, por tanto, quedarán excluidas del proceso de evaluación.] </w:t>
      </w:r>
    </w:p>
    <w:p w14:paraId="562C87F9" w14:textId="318B7BA4" w:rsidR="008053C7" w:rsidRDefault="008053C7" w:rsidP="003436FE">
      <w:pPr>
        <w:spacing w:before="120" w:after="120"/>
        <w:jc w:val="both"/>
        <w:rPr>
          <w:sz w:val="22"/>
          <w:szCs w:val="22"/>
        </w:rPr>
      </w:pPr>
      <w:r>
        <w:rPr>
          <w:sz w:val="22"/>
          <w:szCs w:val="22"/>
        </w:rPr>
        <w:t>[</w:t>
      </w:r>
      <w:r>
        <w:rPr>
          <w:sz w:val="22"/>
          <w:szCs w:val="22"/>
          <w:highlight w:val="yellow"/>
        </w:rPr>
        <w:t>Presentación en papel (gestión indirecta):</w:t>
      </w:r>
    </w:p>
    <w:p w14:paraId="05694E7A" w14:textId="44D49309" w:rsidR="003436FE" w:rsidRPr="002B370E" w:rsidRDefault="003436FE" w:rsidP="003436FE">
      <w:pPr>
        <w:spacing w:before="120" w:after="120"/>
        <w:jc w:val="both"/>
        <w:rPr>
          <w:sz w:val="22"/>
          <w:szCs w:val="22"/>
        </w:rPr>
      </w:pPr>
      <w:r>
        <w:rPr>
          <w:sz w:val="22"/>
          <w:szCs w:val="22"/>
          <w:highlight w:val="lightGray"/>
        </w:rPr>
        <w:t>Una vez concluida la evaluación técnica, se abrirán los sobres que contienen las ofertas financieras correspondientes a las ofertas que no hayan sido eliminadas durante la evaluación técnica (las que hayan obtenido una puntuación media de 75 puntos o más). Las ofertas que sobrepasen el presupuesto máximo disponible para el contrato no serán aceptadas y, por tanto, quedarán excluidas del proceso de evaluación.</w:t>
      </w:r>
      <w:r>
        <w:rPr>
          <w:sz w:val="22"/>
          <w:szCs w:val="22"/>
        </w:rPr>
        <w:t>]</w:t>
      </w:r>
    </w:p>
    <w:p w14:paraId="33F44AD4" w14:textId="77777777" w:rsidR="003436FE" w:rsidRPr="002B370E" w:rsidRDefault="003436FE" w:rsidP="003436FE">
      <w:pPr>
        <w:shd w:val="clear" w:color="auto" w:fill="FFFFFF"/>
        <w:spacing w:before="120" w:after="120"/>
        <w:jc w:val="both"/>
        <w:rPr>
          <w:i/>
          <w:sz w:val="22"/>
          <w:szCs w:val="22"/>
        </w:rPr>
      </w:pPr>
      <w:r>
        <w:rPr>
          <w:sz w:val="22"/>
          <w:szCs w:val="22"/>
        </w:rPr>
        <w:t>[</w:t>
      </w:r>
      <w:r>
        <w:rPr>
          <w:sz w:val="22"/>
          <w:szCs w:val="22"/>
          <w:highlight w:val="yellow"/>
        </w:rPr>
        <w:t>Para los contratos basados en honorarios</w:t>
      </w:r>
      <w:r>
        <w:rPr>
          <w:i/>
          <w:sz w:val="22"/>
          <w:szCs w:val="22"/>
          <w:highlight w:val="yellow"/>
        </w:rPr>
        <w:t>:</w:t>
      </w:r>
    </w:p>
    <w:p w14:paraId="3DE77CCF" w14:textId="77777777" w:rsidR="003436FE" w:rsidRPr="002A75C6" w:rsidRDefault="003436FE" w:rsidP="003436FE">
      <w:pPr>
        <w:spacing w:before="120" w:after="120"/>
        <w:jc w:val="both"/>
        <w:rPr>
          <w:sz w:val="22"/>
          <w:szCs w:val="22"/>
          <w:highlight w:val="lightGray"/>
        </w:rPr>
      </w:pPr>
      <w:r>
        <w:rPr>
          <w:sz w:val="22"/>
          <w:szCs w:val="22"/>
          <w:highlight w:val="lightGray"/>
        </w:rPr>
        <w:t>La provisión para gastos imprevistos y la provisión para la comprobación de los gastos a que hace referencia el Pliego de Condiciones, que deberán incluirse en el desglose presupuestario, no se tendrán en cuenta a la hora de comparar las ofertas financieras.</w:t>
      </w:r>
    </w:p>
    <w:p w14:paraId="74ABEA36" w14:textId="2A199A09" w:rsidR="003436FE" w:rsidRDefault="003436FE" w:rsidP="003436FE">
      <w:pPr>
        <w:spacing w:before="120" w:after="120"/>
        <w:jc w:val="both"/>
        <w:rPr>
          <w:sz w:val="22"/>
          <w:szCs w:val="22"/>
        </w:rPr>
      </w:pPr>
      <w:r>
        <w:rPr>
          <w:sz w:val="22"/>
          <w:szCs w:val="22"/>
          <w:highlight w:val="lightGray"/>
        </w:rPr>
        <w:t xml:space="preserve">Los eventuales errores aritméticos se corregirán sin perjuicio para el licitador, de modo </w:t>
      </w:r>
      <w:proofErr w:type="gramStart"/>
      <w:r>
        <w:rPr>
          <w:sz w:val="22"/>
          <w:szCs w:val="22"/>
          <w:highlight w:val="lightGray"/>
        </w:rPr>
        <w:t>que</w:t>
      </w:r>
      <w:proofErr w:type="gramEnd"/>
      <w:r>
        <w:rPr>
          <w:sz w:val="22"/>
          <w:szCs w:val="22"/>
          <w:highlight w:val="lightGray"/>
        </w:rPr>
        <w:t xml:space="preserve"> si hay una discrepancia entre la tarifa de honorarios y la cantidad total obtenida multiplicando esa tarifa por el número correspondiente de días de trabajo, prevalecerá la tarifa indicada, a no ser que el Comité de Evaluación dictamine que existe un error evidente en la tarifa, en cuyo caso prevalecerá la cantidad total y deberá corregirse la tarifa.]</w:t>
      </w:r>
    </w:p>
    <w:p w14:paraId="024511BB" w14:textId="77777777" w:rsidR="003436FE" w:rsidRPr="002B370E" w:rsidRDefault="003436FE" w:rsidP="003436FE">
      <w:pPr>
        <w:keepNext/>
        <w:spacing w:before="120" w:after="120"/>
        <w:jc w:val="both"/>
        <w:rPr>
          <w:b/>
          <w:sz w:val="22"/>
          <w:szCs w:val="22"/>
          <w:u w:val="single"/>
        </w:rPr>
      </w:pPr>
      <w:r>
        <w:rPr>
          <w:b/>
          <w:sz w:val="22"/>
          <w:szCs w:val="22"/>
        </w:rPr>
        <w:t>12.3.</w:t>
      </w:r>
      <w:r>
        <w:rPr>
          <w:b/>
          <w:sz w:val="22"/>
          <w:szCs w:val="22"/>
        </w:rPr>
        <w:tab/>
        <w:t>Elección del adjudicatario</w:t>
      </w:r>
      <w:r>
        <w:rPr>
          <w:b/>
          <w:sz w:val="22"/>
          <w:szCs w:val="22"/>
          <w:u w:val="single"/>
        </w:rPr>
        <w:t xml:space="preserve"> </w:t>
      </w:r>
    </w:p>
    <w:p w14:paraId="2EC5ED01" w14:textId="77777777" w:rsidR="003436FE" w:rsidRPr="002B370E" w:rsidRDefault="003436FE" w:rsidP="003436FE">
      <w:pPr>
        <w:spacing w:before="120" w:after="120"/>
        <w:jc w:val="both"/>
        <w:rPr>
          <w:sz w:val="22"/>
          <w:szCs w:val="22"/>
        </w:rPr>
      </w:pPr>
      <w:r>
        <w:rPr>
          <w:sz w:val="22"/>
          <w:szCs w:val="22"/>
        </w:rPr>
        <w:t>La selección de la oferta con una mejor relación calidad-precio resulta de una ponderación entre la calidad técnica y el precio de las ofertas con arreglo a una clave de reparto 80/20.</w:t>
      </w:r>
    </w:p>
    <w:p w14:paraId="7A22106F" w14:textId="77777777" w:rsidR="003436FE" w:rsidRPr="002B370E" w:rsidRDefault="003436FE" w:rsidP="003436FE">
      <w:pPr>
        <w:spacing w:before="120" w:after="120"/>
        <w:jc w:val="both"/>
        <w:rPr>
          <w:sz w:val="22"/>
          <w:szCs w:val="22"/>
        </w:rPr>
      </w:pPr>
      <w:r>
        <w:t>[</w:t>
      </w:r>
      <w:r>
        <w:rPr>
          <w:highlight w:val="yellow"/>
        </w:rPr>
        <w:t>FED exclusivamente:</w:t>
      </w:r>
      <w:r>
        <w:rPr>
          <w:sz w:val="22"/>
          <w:szCs w:val="22"/>
        </w:rPr>
        <w:t xml:space="preserve"> </w:t>
      </w:r>
      <w:r>
        <w:rPr>
          <w:sz w:val="22"/>
          <w:szCs w:val="22"/>
          <w:highlight w:val="lightGray"/>
        </w:rPr>
        <w:t>Cuando se comparen ofertas de calidad económica y técnica equivalente, se dará preferencia a la mayor participación de Estados ACP. Véase el apartado 2.6.9 de la Guía Práctica.]</w:t>
      </w:r>
    </w:p>
    <w:p w14:paraId="07DD77B3" w14:textId="77777777" w:rsidR="003436FE" w:rsidRPr="002B370E" w:rsidRDefault="003436FE" w:rsidP="003436FE">
      <w:pPr>
        <w:keepNext/>
        <w:spacing w:before="120" w:after="120"/>
        <w:jc w:val="both"/>
        <w:rPr>
          <w:b/>
          <w:sz w:val="22"/>
          <w:szCs w:val="22"/>
        </w:rPr>
      </w:pPr>
      <w:r>
        <w:rPr>
          <w:b/>
          <w:sz w:val="22"/>
          <w:szCs w:val="22"/>
        </w:rPr>
        <w:lastRenderedPageBreak/>
        <w:t>12.4.</w:t>
      </w:r>
      <w:r>
        <w:rPr>
          <w:b/>
          <w:sz w:val="22"/>
          <w:szCs w:val="22"/>
        </w:rPr>
        <w:tab/>
        <w:t>Confidencialidad</w:t>
      </w:r>
    </w:p>
    <w:p w14:paraId="5645CDCA" w14:textId="77777777" w:rsidR="003436FE" w:rsidRPr="002B370E" w:rsidRDefault="003436FE" w:rsidP="003436FE">
      <w:pPr>
        <w:spacing w:before="120" w:after="120"/>
        <w:jc w:val="both"/>
        <w:rPr>
          <w:sz w:val="22"/>
          <w:szCs w:val="22"/>
        </w:rPr>
      </w:pPr>
      <w:r>
        <w:rPr>
          <w:sz w:val="22"/>
          <w:szCs w:val="22"/>
        </w:rPr>
        <w:t>Todo el procedimiento de evaluación es confidencial, de conformidad con la legislación en materia de acceso a los documentos del Órgano de Contratación. El Comité de Evaluación adopta sus decisiones colectivamente y sus deliberaciones se realizan a puerta cerrada. Los miembros del Comité de Evaluación tienen la obligación de respetar la confidencialidad. Los informes de evaluación y la documentación escrita son de uso exclusivamente oficial y no pueden ser comunicados ni a los licitadores ni a ninguna otra parte excepto el Órgano de Contratación, la Comisión Europea, la Oficina Europea de Lucha contra el Fraude, la Fiscalía Europea o el Tribunal de Cuentas Europeo.</w:t>
      </w:r>
    </w:p>
    <w:p w14:paraId="4EF4AE53" w14:textId="77777777" w:rsidR="003436FE" w:rsidRPr="002B370E" w:rsidRDefault="003436FE" w:rsidP="003436FE">
      <w:pPr>
        <w:keepNext/>
        <w:numPr>
          <w:ilvl w:val="0"/>
          <w:numId w:val="26"/>
        </w:numPr>
        <w:spacing w:before="120" w:after="120"/>
        <w:jc w:val="both"/>
        <w:rPr>
          <w:b/>
          <w:sz w:val="24"/>
          <w:szCs w:val="24"/>
        </w:rPr>
      </w:pPr>
      <w:r>
        <w:rPr>
          <w:b/>
          <w:sz w:val="24"/>
          <w:szCs w:val="24"/>
        </w:rPr>
        <w:t xml:space="preserve">Cláusulas deontológicas y código de conducta </w:t>
      </w:r>
    </w:p>
    <w:p w14:paraId="1BD08E3B" w14:textId="77777777" w:rsidR="003C457E" w:rsidRPr="00695F78" w:rsidRDefault="003436FE" w:rsidP="003436FE">
      <w:pPr>
        <w:spacing w:before="120" w:after="120"/>
        <w:ind w:left="567" w:hanging="567"/>
        <w:jc w:val="both"/>
        <w:rPr>
          <w:sz w:val="22"/>
          <w:szCs w:val="22"/>
          <w:u w:val="single"/>
        </w:rPr>
      </w:pPr>
      <w:r>
        <w:rPr>
          <w:sz w:val="22"/>
          <w:szCs w:val="22"/>
        </w:rPr>
        <w:t>a)</w:t>
      </w:r>
      <w:r>
        <w:rPr>
          <w:sz w:val="22"/>
          <w:szCs w:val="22"/>
        </w:rPr>
        <w:tab/>
      </w:r>
      <w:r>
        <w:rPr>
          <w:sz w:val="22"/>
          <w:szCs w:val="22"/>
          <w:u w:val="single"/>
        </w:rPr>
        <w:t>Ausencia de conflictos de intereses</w:t>
      </w:r>
    </w:p>
    <w:p w14:paraId="2AED2C60" w14:textId="77777777" w:rsidR="003C457E" w:rsidRDefault="003C457E" w:rsidP="003436FE">
      <w:pPr>
        <w:spacing w:before="120" w:after="120"/>
        <w:ind w:left="567" w:hanging="567"/>
        <w:jc w:val="both"/>
        <w:rPr>
          <w:sz w:val="22"/>
          <w:szCs w:val="22"/>
        </w:rPr>
      </w:pPr>
      <w:r>
        <w:rPr>
          <w:sz w:val="22"/>
          <w:szCs w:val="22"/>
        </w:rPr>
        <w:t xml:space="preserve">         El licitador no deberá verse afectado por ningún conflicto de intereses y no deberá tener ningún tipo de relación equivalente al respecto con otros licitadores o partes implicadas en el proyecto. Toda tentativa de un licitador de obtener información confidencial, realizar acuerdos ilícitos con sus competidores o influir sobre el Comité de Evaluación o sobre el Órgano de Contratación a lo largo del procedimiento de examen, de aclaración, evaluación y comparación de las ofertas acarreará la exclusión de su oferta y podrá dar lugar a la imposición de sanciones administrativas de conformidad con el Reglamento Financiero en vigor. </w:t>
      </w:r>
    </w:p>
    <w:p w14:paraId="67CC2887" w14:textId="77777777" w:rsidR="003C457E" w:rsidRDefault="003436FE" w:rsidP="003436FE">
      <w:pPr>
        <w:spacing w:before="120" w:after="120"/>
        <w:ind w:left="567" w:hanging="567"/>
        <w:jc w:val="both"/>
        <w:rPr>
          <w:sz w:val="22"/>
          <w:szCs w:val="22"/>
          <w:u w:val="single"/>
        </w:rPr>
      </w:pPr>
      <w:r>
        <w:rPr>
          <w:sz w:val="22"/>
          <w:szCs w:val="22"/>
        </w:rPr>
        <w:t>b)</w:t>
      </w:r>
      <w:r>
        <w:rPr>
          <w:sz w:val="22"/>
          <w:szCs w:val="22"/>
        </w:rPr>
        <w:tab/>
      </w:r>
      <w:r>
        <w:rPr>
          <w:sz w:val="22"/>
          <w:szCs w:val="22"/>
          <w:u w:val="single"/>
        </w:rPr>
        <w:t>Respeto de los derechos humanos, así como de la legislación medioambiental y las normas laborales fundamentales</w:t>
      </w:r>
    </w:p>
    <w:p w14:paraId="1E3BB217" w14:textId="333715F9" w:rsidR="003C457E" w:rsidRDefault="003C457E" w:rsidP="003436FE">
      <w:pPr>
        <w:spacing w:before="120" w:after="120"/>
        <w:ind w:left="567" w:hanging="567"/>
        <w:jc w:val="both"/>
        <w:rPr>
          <w:sz w:val="22"/>
          <w:szCs w:val="22"/>
        </w:rPr>
      </w:pPr>
      <w:r>
        <w:rPr>
          <w:sz w:val="22"/>
          <w:szCs w:val="22"/>
        </w:rPr>
        <w:t xml:space="preserve">         El licitador y su personal deberán respetar los derechos humanos y las normas aplicables en materia de protección de datos. En particular y conforme al acto de base aplicable, los licitadores y solicitantes a los que se les adjudiquen contratos deberán respetar la legislación medioambiental y los acuerdos medioambientales multilaterales, así como las normas laborales fundamentales aplicables definidas en los convenios pertinentes de la Organización Internacional del Trabajo (tales como los convenios sobre la libertad sindical y la negociación colectiva, la eliminación del trabajo forzoso o la abolición del trabajo infantil).</w:t>
      </w:r>
    </w:p>
    <w:p w14:paraId="732BD72C" w14:textId="77777777" w:rsidR="003C457E" w:rsidRPr="00695F78" w:rsidRDefault="003C457E" w:rsidP="00695F78">
      <w:pPr>
        <w:pBdr>
          <w:top w:val="single" w:sz="4" w:space="1" w:color="auto"/>
          <w:left w:val="single" w:sz="4" w:space="4" w:color="auto"/>
          <w:bottom w:val="single" w:sz="4" w:space="1" w:color="auto"/>
          <w:right w:val="single" w:sz="4" w:space="4" w:color="auto"/>
        </w:pBdr>
        <w:spacing w:before="120" w:after="120"/>
        <w:ind w:left="567" w:hanging="567"/>
        <w:jc w:val="both"/>
        <w:rPr>
          <w:b/>
          <w:sz w:val="22"/>
          <w:szCs w:val="22"/>
        </w:rPr>
      </w:pPr>
      <w:r>
        <w:rPr>
          <w:sz w:val="22"/>
          <w:szCs w:val="22"/>
        </w:rPr>
        <w:t xml:space="preserve">        </w:t>
      </w:r>
      <w:r>
        <w:rPr>
          <w:b/>
          <w:sz w:val="22"/>
          <w:szCs w:val="22"/>
        </w:rPr>
        <w:t>Tolerancia cero ante el acoso, la explotación y los abusos sexuales:</w:t>
      </w:r>
    </w:p>
    <w:p w14:paraId="73EAA360" w14:textId="77777777" w:rsidR="003C457E" w:rsidRPr="003C457E" w:rsidRDefault="003C457E" w:rsidP="00695F78">
      <w:pPr>
        <w:pBdr>
          <w:top w:val="single" w:sz="4" w:space="1" w:color="auto"/>
          <w:left w:val="single" w:sz="4" w:space="4" w:color="auto"/>
          <w:bottom w:val="single" w:sz="4" w:space="1" w:color="auto"/>
          <w:right w:val="single" w:sz="4" w:space="4" w:color="auto"/>
        </w:pBdr>
        <w:spacing w:before="120" w:after="120"/>
        <w:ind w:left="567" w:hanging="567"/>
        <w:jc w:val="both"/>
        <w:rPr>
          <w:sz w:val="22"/>
          <w:szCs w:val="22"/>
        </w:rPr>
      </w:pPr>
      <w:r>
        <w:rPr>
          <w:sz w:val="22"/>
          <w:szCs w:val="22"/>
        </w:rPr>
        <w:t xml:space="preserve">          La Comisión Europea aplica una política de «tolerancia cero» con respecto a toda conducta ilícita que afecte a la credibilidad profesional del licitador. </w:t>
      </w:r>
    </w:p>
    <w:p w14:paraId="0B8A8567" w14:textId="77777777" w:rsidR="003C457E" w:rsidRDefault="003C457E" w:rsidP="00695F78">
      <w:pPr>
        <w:pBdr>
          <w:top w:val="single" w:sz="4" w:space="1" w:color="auto"/>
          <w:left w:val="single" w:sz="4" w:space="4" w:color="auto"/>
          <w:bottom w:val="single" w:sz="4" w:space="1" w:color="auto"/>
          <w:right w:val="single" w:sz="4" w:space="4" w:color="auto"/>
        </w:pBdr>
        <w:spacing w:before="120" w:after="120"/>
        <w:ind w:left="567" w:hanging="567"/>
        <w:jc w:val="both"/>
        <w:rPr>
          <w:sz w:val="22"/>
          <w:szCs w:val="22"/>
        </w:rPr>
      </w:pPr>
      <w:r>
        <w:rPr>
          <w:sz w:val="22"/>
          <w:szCs w:val="22"/>
        </w:rPr>
        <w:t xml:space="preserve">          Se prohíben los maltratos físicos o los castigos, las amenazas de maltrato físico, los abusos o la explotación sexual, el acoso y los insultos, así como otras formas de intimidación.</w:t>
      </w:r>
    </w:p>
    <w:p w14:paraId="5C2C66B4" w14:textId="77777777" w:rsidR="004968C0" w:rsidRDefault="003C457E" w:rsidP="003436FE">
      <w:pPr>
        <w:spacing w:before="120" w:after="120"/>
        <w:ind w:left="567" w:hanging="567"/>
        <w:jc w:val="both"/>
        <w:rPr>
          <w:sz w:val="22"/>
          <w:szCs w:val="22"/>
        </w:rPr>
      </w:pPr>
      <w:r>
        <w:rPr>
          <w:sz w:val="22"/>
          <w:szCs w:val="22"/>
        </w:rPr>
        <w:t xml:space="preserve"> c)</w:t>
      </w:r>
      <w:r>
        <w:rPr>
          <w:sz w:val="22"/>
          <w:szCs w:val="22"/>
        </w:rPr>
        <w:tab/>
      </w:r>
      <w:r>
        <w:rPr>
          <w:sz w:val="22"/>
          <w:szCs w:val="22"/>
          <w:u w:val="single"/>
        </w:rPr>
        <w:t>Lucha contra la corrupción y el soborno</w:t>
      </w:r>
      <w:r>
        <w:rPr>
          <w:sz w:val="22"/>
          <w:szCs w:val="22"/>
        </w:rPr>
        <w:t xml:space="preserve"> </w:t>
      </w:r>
    </w:p>
    <w:p w14:paraId="2E6D00A0" w14:textId="77777777" w:rsidR="003436FE" w:rsidRPr="002B370E" w:rsidRDefault="004968C0" w:rsidP="003436FE">
      <w:pPr>
        <w:spacing w:before="120" w:after="120"/>
        <w:ind w:left="567" w:hanging="567"/>
        <w:jc w:val="both"/>
        <w:rPr>
          <w:sz w:val="22"/>
          <w:szCs w:val="22"/>
        </w:rPr>
      </w:pPr>
      <w:r>
        <w:rPr>
          <w:sz w:val="22"/>
          <w:szCs w:val="22"/>
        </w:rPr>
        <w:t xml:space="preserve">          El licitador deberá cumplir todas las leyes y reglamentos aplicables y los códigos sobre la lucha contra el soborno y la lucha contra la corrupción. La Comisión Europea se reserva el derecho de suspender o anular la financiación de los proyectos si se descubren prácticas de corrupción de cualquier naturaleza en cualquier fase del procedimiento de adjudicación o durante la ejecución del contrato y si el Órgano de Contratación no toma todas las medidas oportunas para poner remedio a esta situación. A efectos de esta disposición, se entiende por «prácticas de corrupción» cualquier propuesta de soborno, regalo, gratificación o comisión a cualquier persona como </w:t>
      </w:r>
      <w:r>
        <w:rPr>
          <w:sz w:val="22"/>
          <w:szCs w:val="22"/>
        </w:rPr>
        <w:lastRenderedPageBreak/>
        <w:t>incentivo o recompensa para que realice o se abstenga de realizar actos relacionados con la adjudicación del contrato o con la ejecución de un contrato ya suscrito con el Órgano de Contratación.</w:t>
      </w:r>
    </w:p>
    <w:p w14:paraId="26BDCFEB" w14:textId="77777777" w:rsidR="004968C0" w:rsidRDefault="003436FE" w:rsidP="003436FE">
      <w:pPr>
        <w:spacing w:before="120" w:after="120"/>
        <w:ind w:left="567" w:hanging="567"/>
        <w:jc w:val="both"/>
        <w:rPr>
          <w:sz w:val="22"/>
          <w:szCs w:val="22"/>
        </w:rPr>
      </w:pPr>
      <w:r>
        <w:rPr>
          <w:sz w:val="22"/>
          <w:szCs w:val="22"/>
        </w:rPr>
        <w:t>d)</w:t>
      </w:r>
      <w:r>
        <w:rPr>
          <w:sz w:val="22"/>
          <w:szCs w:val="22"/>
        </w:rPr>
        <w:tab/>
      </w:r>
      <w:r>
        <w:rPr>
          <w:sz w:val="22"/>
          <w:szCs w:val="22"/>
          <w:u w:val="single"/>
        </w:rPr>
        <w:t>Gastos comerciales no habituales</w:t>
      </w:r>
      <w:r>
        <w:rPr>
          <w:sz w:val="22"/>
          <w:szCs w:val="22"/>
        </w:rPr>
        <w:t xml:space="preserve"> </w:t>
      </w:r>
    </w:p>
    <w:p w14:paraId="5ADE4362" w14:textId="77777777" w:rsidR="004968C0" w:rsidRPr="004968C0" w:rsidRDefault="004968C0" w:rsidP="004968C0">
      <w:pPr>
        <w:spacing w:before="120" w:after="120"/>
        <w:ind w:left="567" w:hanging="567"/>
        <w:jc w:val="both"/>
        <w:rPr>
          <w:sz w:val="22"/>
          <w:szCs w:val="22"/>
        </w:rPr>
      </w:pPr>
      <w:r>
        <w:rPr>
          <w:sz w:val="22"/>
          <w:szCs w:val="22"/>
        </w:rPr>
        <w:t xml:space="preserve">          En caso de que la adjudicación o la ejecución de un contrato dé lugar a gastos comerciales no habituales, se rechazará la correspondiente oferta o se pondrá fin al contrato. Se entiende por «gastos comerciales no habituales» cualquier comisión que no se mencione en el contrato principal o que no resulte de un contrato válidamente formalizado que haga referencia a ese contrato principal, cualquier comisión que no constituya la contrapartida de un servicio legítima y efectivamente prestado, cualquier comisión abonada en un paraíso fiscal y cualquier comisión abonada a un beneficiario que no esté claramente identificado o a una sociedad que presente todas las apariencias de ser una empresa pantalla.</w:t>
      </w:r>
    </w:p>
    <w:p w14:paraId="1BCBFEB7" w14:textId="77777777" w:rsidR="003436FE" w:rsidRPr="002B370E" w:rsidRDefault="004968C0" w:rsidP="00695F78">
      <w:pPr>
        <w:spacing w:before="120" w:after="120"/>
        <w:ind w:left="567" w:hanging="567"/>
        <w:jc w:val="both"/>
        <w:rPr>
          <w:sz w:val="22"/>
          <w:szCs w:val="22"/>
        </w:rPr>
      </w:pPr>
      <w:r>
        <w:rPr>
          <w:sz w:val="22"/>
          <w:szCs w:val="22"/>
        </w:rPr>
        <w:t xml:space="preserve">          Los contratistas respecto de los cuales conste fehacientemente que hayan incurrido en gastos comerciales no habituales en proyectos financiados por la Unión Europea se exponen, dependiendo de la gravedad de los hechos, a la resolución del contrato o a la exclusión definitiva de la posibilidad de recibir fondos de la Unión Europea.</w:t>
      </w:r>
    </w:p>
    <w:p w14:paraId="7BF76C79" w14:textId="77777777" w:rsidR="004968C0" w:rsidRDefault="003436FE" w:rsidP="003436FE">
      <w:pPr>
        <w:spacing w:before="120" w:after="120"/>
        <w:ind w:left="567" w:hanging="567"/>
        <w:jc w:val="both"/>
        <w:rPr>
          <w:sz w:val="22"/>
          <w:szCs w:val="22"/>
          <w:u w:val="single"/>
        </w:rPr>
      </w:pPr>
      <w:r>
        <w:rPr>
          <w:sz w:val="22"/>
          <w:szCs w:val="22"/>
        </w:rPr>
        <w:t>e)</w:t>
      </w:r>
      <w:r>
        <w:rPr>
          <w:sz w:val="22"/>
          <w:szCs w:val="22"/>
        </w:rPr>
        <w:tab/>
      </w:r>
      <w:r>
        <w:rPr>
          <w:sz w:val="22"/>
          <w:szCs w:val="22"/>
          <w:u w:val="single"/>
        </w:rPr>
        <w:t>Incumplimiento de obligaciones, irregularidades o fraude</w:t>
      </w:r>
    </w:p>
    <w:p w14:paraId="5E094E6C" w14:textId="33059AAD" w:rsidR="008F2B98" w:rsidRDefault="004968C0" w:rsidP="00695F78">
      <w:pPr>
        <w:spacing w:before="120" w:after="120"/>
        <w:ind w:left="567" w:hanging="567"/>
        <w:jc w:val="both"/>
        <w:rPr>
          <w:sz w:val="22"/>
          <w:szCs w:val="22"/>
        </w:rPr>
      </w:pPr>
      <w:r>
        <w:rPr>
          <w:sz w:val="22"/>
          <w:szCs w:val="22"/>
        </w:rPr>
        <w:t xml:space="preserve">          El Órgano de Contratación se reserva el derecho de suspender o anular el procedimiento cuando resulte que en el procedimiento de adjudicación se produjeron incumplimiento de obligaciones, irregularidades o fraude. Cuando tal incumplimiento, irregularidades o fraude se descubran tras la adjudicación del contrato, el Órgano de Contratación podrá abste</w:t>
      </w:r>
      <w:r w:rsidR="006152C2">
        <w:rPr>
          <w:sz w:val="22"/>
          <w:szCs w:val="22"/>
        </w:rPr>
        <w:t>nerse de celebrar el contrato.</w:t>
      </w:r>
    </w:p>
    <w:p w14:paraId="261277CD" w14:textId="77777777" w:rsidR="003436FE" w:rsidRPr="008F2B98" w:rsidRDefault="008F2B98" w:rsidP="00695F78">
      <w:pPr>
        <w:spacing w:before="120" w:after="120"/>
        <w:ind w:left="567" w:hanging="567"/>
        <w:jc w:val="both"/>
        <w:rPr>
          <w:b/>
          <w:sz w:val="24"/>
          <w:szCs w:val="24"/>
        </w:rPr>
      </w:pPr>
      <w:r>
        <w:rPr>
          <w:b/>
          <w:sz w:val="22"/>
          <w:szCs w:val="22"/>
        </w:rPr>
        <w:t xml:space="preserve">14. </w:t>
      </w:r>
      <w:r>
        <w:rPr>
          <w:b/>
          <w:sz w:val="24"/>
          <w:szCs w:val="24"/>
        </w:rPr>
        <w:t>Firma del contrato o contratos</w:t>
      </w:r>
    </w:p>
    <w:p w14:paraId="2D8AC2E6" w14:textId="77777777" w:rsidR="003436FE" w:rsidRPr="002B370E" w:rsidRDefault="003436FE" w:rsidP="003436FE">
      <w:pPr>
        <w:keepNext/>
        <w:spacing w:before="120" w:after="120"/>
        <w:ind w:left="567" w:hanging="567"/>
        <w:jc w:val="both"/>
        <w:rPr>
          <w:b/>
          <w:sz w:val="22"/>
          <w:szCs w:val="22"/>
        </w:rPr>
      </w:pPr>
      <w:r>
        <w:rPr>
          <w:b/>
          <w:sz w:val="22"/>
          <w:szCs w:val="22"/>
        </w:rPr>
        <w:t>14.1.</w:t>
      </w:r>
      <w:r>
        <w:rPr>
          <w:b/>
          <w:sz w:val="22"/>
          <w:szCs w:val="22"/>
        </w:rPr>
        <w:tab/>
        <w:t>Notificación de la adjudicación</w:t>
      </w:r>
    </w:p>
    <w:p w14:paraId="6FD851E2" w14:textId="371B8C30" w:rsidR="00ED3264" w:rsidRDefault="003922CF" w:rsidP="003436FE">
      <w:pPr>
        <w:keepNext/>
        <w:spacing w:before="120" w:after="120"/>
        <w:jc w:val="both"/>
        <w:rPr>
          <w:sz w:val="22"/>
          <w:szCs w:val="22"/>
        </w:rPr>
      </w:pPr>
      <w:r>
        <w:rPr>
          <w:sz w:val="22"/>
          <w:szCs w:val="22"/>
        </w:rPr>
        <w:t xml:space="preserve"> [</w:t>
      </w:r>
      <w:r>
        <w:rPr>
          <w:sz w:val="22"/>
          <w:szCs w:val="22"/>
          <w:highlight w:val="yellow"/>
        </w:rPr>
        <w:t>Presentación electrónica (gestión directa):</w:t>
      </w:r>
    </w:p>
    <w:p w14:paraId="58CA31FA" w14:textId="085384B8" w:rsidR="00ED3264" w:rsidRDefault="00ED3264" w:rsidP="00442485">
      <w:pPr>
        <w:pStyle w:val="Numbered"/>
        <w:numPr>
          <w:ilvl w:val="0"/>
          <w:numId w:val="0"/>
        </w:numPr>
        <w:spacing w:beforeLines="120" w:before="288" w:afterLines="60" w:after="144"/>
        <w:rPr>
          <w:sz w:val="22"/>
          <w:szCs w:val="22"/>
        </w:rPr>
      </w:pPr>
      <w:r>
        <w:rPr>
          <w:sz w:val="22"/>
          <w:szCs w:val="22"/>
          <w:highlight w:val="lightGray"/>
        </w:rPr>
        <w:t xml:space="preserve">A los licitadores se les notificará el resultado de este procedimiento de contratación por correo electrónico. La notificación se enviará a la dirección de correo electrónico del licitador (del licitador principal del grupo, en caso de oferta conjunta) indicada en la aplicación de </w:t>
      </w:r>
      <w:proofErr w:type="spellStart"/>
      <w:r>
        <w:rPr>
          <w:sz w:val="22"/>
          <w:szCs w:val="22"/>
          <w:highlight w:val="lightGray"/>
        </w:rPr>
        <w:t>eSubmission</w:t>
      </w:r>
      <w:proofErr w:type="spellEnd"/>
      <w:r>
        <w:rPr>
          <w:sz w:val="22"/>
          <w:szCs w:val="22"/>
          <w:highlight w:val="lightGray"/>
        </w:rPr>
        <w:t xml:space="preserve">, en la sección «Información de contacto». El Órgano de Contratación utilizará la misma dirección de correo electrónico para el resto de </w:t>
      </w:r>
      <w:proofErr w:type="gramStart"/>
      <w:r>
        <w:rPr>
          <w:sz w:val="22"/>
          <w:szCs w:val="22"/>
          <w:highlight w:val="lightGray"/>
        </w:rPr>
        <w:t>comunicaciones</w:t>
      </w:r>
      <w:proofErr w:type="gramEnd"/>
      <w:r>
        <w:rPr>
          <w:sz w:val="22"/>
          <w:szCs w:val="22"/>
          <w:highlight w:val="lightGray"/>
        </w:rPr>
        <w:t xml:space="preserve"> con el licitador. Compete a este proporcionar una dirección de correo electrónico válida y consultarla periódicamente.</w:t>
      </w:r>
      <w:r>
        <w:rPr>
          <w:sz w:val="22"/>
          <w:szCs w:val="22"/>
        </w:rPr>
        <w:t>]</w:t>
      </w:r>
    </w:p>
    <w:p w14:paraId="5FEC2CCB" w14:textId="7B06D490" w:rsidR="00FA5C42" w:rsidRDefault="00FA5C42" w:rsidP="00442485">
      <w:pPr>
        <w:pStyle w:val="Numbered"/>
        <w:numPr>
          <w:ilvl w:val="0"/>
          <w:numId w:val="0"/>
        </w:numPr>
        <w:spacing w:beforeLines="120" w:before="288" w:afterLines="60" w:after="144"/>
        <w:rPr>
          <w:sz w:val="22"/>
          <w:szCs w:val="22"/>
        </w:rPr>
      </w:pPr>
      <w:r>
        <w:rPr>
          <w:sz w:val="22"/>
          <w:szCs w:val="22"/>
        </w:rPr>
        <w:t>[</w:t>
      </w:r>
      <w:r>
        <w:rPr>
          <w:sz w:val="22"/>
          <w:szCs w:val="22"/>
          <w:highlight w:val="yellow"/>
        </w:rPr>
        <w:t>Presentación en papel (gestión indirecta):</w:t>
      </w:r>
    </w:p>
    <w:p w14:paraId="027F53F2" w14:textId="1AB254AD" w:rsidR="00FA5C42" w:rsidRPr="002B370E" w:rsidRDefault="003922CF" w:rsidP="00FA5C42">
      <w:pPr>
        <w:keepNext/>
        <w:spacing w:before="120" w:after="120"/>
        <w:jc w:val="both"/>
        <w:rPr>
          <w:sz w:val="22"/>
          <w:szCs w:val="22"/>
        </w:rPr>
      </w:pPr>
      <w:r>
        <w:rPr>
          <w:sz w:val="22"/>
          <w:szCs w:val="22"/>
          <w:highlight w:val="lightGray"/>
        </w:rPr>
        <w:t>A los licitadores se les notificará el resultado de este procedimien</w:t>
      </w:r>
      <w:r w:rsidR="006152C2">
        <w:rPr>
          <w:sz w:val="22"/>
          <w:szCs w:val="22"/>
          <w:highlight w:val="lightGray"/>
        </w:rPr>
        <w:t>to de contratación por escrito.</w:t>
      </w:r>
      <w:r>
        <w:rPr>
          <w:sz w:val="22"/>
          <w:szCs w:val="22"/>
        </w:rPr>
        <w:t>]</w:t>
      </w:r>
    </w:p>
    <w:p w14:paraId="69C4297A" w14:textId="77777777" w:rsidR="00CB1B55" w:rsidRDefault="00732F51" w:rsidP="00F11E9B">
      <w:pPr>
        <w:shd w:val="clear" w:color="auto" w:fill="FFFFFF"/>
        <w:spacing w:before="120" w:after="120"/>
        <w:jc w:val="both"/>
        <w:rPr>
          <w:sz w:val="22"/>
          <w:szCs w:val="22"/>
        </w:rPr>
      </w:pPr>
      <w:r>
        <w:rPr>
          <w:sz w:val="22"/>
          <w:szCs w:val="22"/>
        </w:rPr>
        <w:t>[</w:t>
      </w:r>
      <w:r>
        <w:rPr>
          <w:sz w:val="22"/>
          <w:szCs w:val="22"/>
          <w:highlight w:val="yellow"/>
        </w:rPr>
        <w:t>Para los contratos basados en honorarios y de precio global con expertos principales:</w:t>
      </w:r>
      <w:r>
        <w:rPr>
          <w:sz w:val="22"/>
          <w:szCs w:val="22"/>
        </w:rPr>
        <w:t xml:space="preserve"> </w:t>
      </w:r>
    </w:p>
    <w:p w14:paraId="257820DD" w14:textId="77777777" w:rsidR="00F11E9B" w:rsidRPr="002A75C6" w:rsidRDefault="003436FE" w:rsidP="00F11E9B">
      <w:pPr>
        <w:shd w:val="clear" w:color="auto" w:fill="FFFFFF"/>
        <w:spacing w:before="120" w:after="120"/>
        <w:jc w:val="both"/>
        <w:rPr>
          <w:sz w:val="22"/>
          <w:szCs w:val="22"/>
          <w:highlight w:val="lightGray"/>
        </w:rPr>
      </w:pPr>
      <w:r>
        <w:rPr>
          <w:sz w:val="22"/>
          <w:szCs w:val="22"/>
          <w:highlight w:val="lightGray"/>
        </w:rPr>
        <w:t xml:space="preserve">El adjudicatario confirmará la disponibilidad/no disponibilidad de los expertos principales en un plazo de cinco días desde la fecha de notificación de la adjudicación. </w:t>
      </w:r>
    </w:p>
    <w:p w14:paraId="0C918C37" w14:textId="4E0CAC97" w:rsidR="00F11E9B" w:rsidRPr="002A75C6" w:rsidRDefault="00F11E9B" w:rsidP="00F11E9B">
      <w:pPr>
        <w:shd w:val="clear" w:color="auto" w:fill="FFFFFF"/>
        <w:spacing w:before="120" w:after="120"/>
        <w:jc w:val="both"/>
        <w:rPr>
          <w:sz w:val="22"/>
          <w:szCs w:val="22"/>
          <w:highlight w:val="lightGray"/>
        </w:rPr>
      </w:pPr>
      <w:r>
        <w:rPr>
          <w:sz w:val="22"/>
          <w:szCs w:val="22"/>
          <w:highlight w:val="lightGray"/>
        </w:rPr>
        <w:lastRenderedPageBreak/>
        <w:t xml:space="preserve">En caso de falta de disponibilidad, el adjudicatario podrá proponer un sustituto. El adjudicatario proporcionará la debida justificación para el cambio de experto principal, pero su aceptación por parte del Órgano de Contratación no se limitará a casos específicos. Diferentes sustitutos podrán ser </w:t>
      </w:r>
      <w:proofErr w:type="gramStart"/>
      <w:r>
        <w:rPr>
          <w:sz w:val="22"/>
          <w:szCs w:val="22"/>
          <w:highlight w:val="lightGray"/>
        </w:rPr>
        <w:t>propuestos</w:t>
      </w:r>
      <w:proofErr w:type="gramEnd"/>
      <w:r>
        <w:rPr>
          <w:sz w:val="22"/>
          <w:szCs w:val="22"/>
          <w:highlight w:val="lightGray"/>
        </w:rPr>
        <w:t xml:space="preserve"> pero solamente se aceptarán en un período de tiempo de 15 días desde la fecha de notificación de la adjudicación. El sustituto no podrá ser un experto propuesto por otro licitador en la misma licitación.</w:t>
      </w:r>
    </w:p>
    <w:p w14:paraId="46BCC9DC" w14:textId="637315D4" w:rsidR="00F11E9B" w:rsidRPr="002A75C6" w:rsidRDefault="00F11E9B" w:rsidP="00F11E9B">
      <w:pPr>
        <w:shd w:val="clear" w:color="auto" w:fill="FFFFFF"/>
        <w:spacing w:before="120" w:after="120"/>
        <w:jc w:val="both"/>
        <w:rPr>
          <w:sz w:val="22"/>
          <w:szCs w:val="22"/>
          <w:highlight w:val="lightGray"/>
        </w:rPr>
      </w:pPr>
      <w:r>
        <w:rPr>
          <w:sz w:val="22"/>
          <w:szCs w:val="22"/>
          <w:highlight w:val="lightGray"/>
        </w:rPr>
        <w:t>La puntuación total del sustituto será, como mínimo, tan alta como la del experto principal propuesto en la oferta. Debe remarcarse que el sustituto deberá cumplir los requisitos mínimos par</w:t>
      </w:r>
      <w:r w:rsidR="006152C2">
        <w:rPr>
          <w:sz w:val="22"/>
          <w:szCs w:val="22"/>
          <w:highlight w:val="lightGray"/>
        </w:rPr>
        <w:t>a cada criterio de evaluación.</w:t>
      </w:r>
    </w:p>
    <w:p w14:paraId="5398D962" w14:textId="77777777" w:rsidR="003436FE" w:rsidRPr="002A75C6" w:rsidRDefault="00F11E9B" w:rsidP="003436FE">
      <w:pPr>
        <w:shd w:val="clear" w:color="auto" w:fill="FFFFFF"/>
        <w:spacing w:before="120" w:after="120"/>
        <w:jc w:val="both"/>
        <w:rPr>
          <w:sz w:val="22"/>
          <w:szCs w:val="22"/>
          <w:highlight w:val="lightGray"/>
        </w:rPr>
      </w:pPr>
      <w:r>
        <w:rPr>
          <w:sz w:val="22"/>
          <w:szCs w:val="22"/>
          <w:highlight w:val="lightGray"/>
        </w:rPr>
        <w:t>Si no se han propuesto sustitutos en el plazo de 15 días o si los sustitutos no están suficientemente cualificados, o la propuesta de sustituto modifica las condiciones de adjudicación, el Órgano de Contratación podrá decidir adjudicar el contrato al segundo mejor licitador que cumpla los requisitos técnicos (dándole también la posibilidad de sustituir a un experto principal si no estuviese disponible).</w:t>
      </w:r>
    </w:p>
    <w:p w14:paraId="29D863FD" w14:textId="77777777" w:rsidR="00F11E9B" w:rsidRPr="002A75C6" w:rsidRDefault="00F11E9B" w:rsidP="00617AC8">
      <w:pPr>
        <w:pStyle w:val="Style11ptJustifiedAfter12pt"/>
        <w:keepNext/>
        <w:keepLines/>
        <w:pBdr>
          <w:top w:val="single" w:sz="4" w:space="1" w:color="auto"/>
          <w:left w:val="single" w:sz="4" w:space="4" w:color="auto"/>
          <w:bottom w:val="single" w:sz="4" w:space="1" w:color="auto"/>
          <w:right w:val="single" w:sz="4" w:space="4" w:color="auto"/>
        </w:pBdr>
        <w:rPr>
          <w:rStyle w:val="StyleStyleLeftBoxSinglesolidlineAuto05ptLinewidthCh2Char"/>
          <w:highlight w:val="lightGray"/>
        </w:rPr>
      </w:pPr>
      <w:r>
        <w:rPr>
          <w:rStyle w:val="StyleStyleLeftBoxSinglesolidlineAuto05ptLinewidthCh2Char"/>
          <w:highlight w:val="lightGray"/>
        </w:rPr>
        <w:t xml:space="preserve">Si el Órgano de Contratación tuviera conocimiento de que el licitador, habiendo confirmado la disponibilidad del experto principal y firmado el contrato, ocultó deliberadamente el hecho de que este no estaba disponible en la fecha prevista para la puesta a disposición de tales expertos, indicada en el expediente de licitación, podrá decidir la resolución del contrato en virtud de la cláusula 36.2, letra m), de las Condiciones Generales. </w:t>
      </w:r>
    </w:p>
    <w:p w14:paraId="6D809D26" w14:textId="3534F862" w:rsidR="00F11E9B" w:rsidRPr="000C3952" w:rsidRDefault="00F11E9B" w:rsidP="00617AC8">
      <w:pPr>
        <w:pStyle w:val="Style11ptJustifiedAfter12pt"/>
        <w:keepNext/>
        <w:keepLines/>
        <w:pBdr>
          <w:top w:val="single" w:sz="4" w:space="1" w:color="auto"/>
          <w:left w:val="single" w:sz="4" w:space="4" w:color="auto"/>
          <w:bottom w:val="single" w:sz="4" w:space="1" w:color="auto"/>
          <w:right w:val="single" w:sz="4" w:space="4" w:color="auto"/>
        </w:pBdr>
      </w:pPr>
      <w:r>
        <w:rPr>
          <w:highlight w:val="lightGray"/>
        </w:rPr>
        <w:t xml:space="preserve">Se recuerda que el licitador/contratista también podrá estar sujeto a las sanciones administrativas y financieras previstas en la cláusula 10.2 de las Condiciones Generales de los contratos de servicios. Además, ello podrá conllevar </w:t>
      </w:r>
      <w:r>
        <w:rPr>
          <w:rStyle w:val="StyleStyleLeftBoxSinglesolidlineAuto05ptLinewidthCh2Char"/>
          <w:highlight w:val="lightGray"/>
        </w:rPr>
        <w:t>la exclusión del licitador o contratista de otros contratos financiados por la Unión Europea.</w:t>
      </w:r>
    </w:p>
    <w:p w14:paraId="7A19BC81" w14:textId="77777777" w:rsidR="00ED16B2" w:rsidRDefault="00ED16B2" w:rsidP="003436FE">
      <w:pPr>
        <w:keepNext/>
        <w:spacing w:before="120" w:after="120"/>
        <w:ind w:left="567" w:hanging="567"/>
        <w:jc w:val="both"/>
        <w:rPr>
          <w:b/>
          <w:sz w:val="22"/>
          <w:szCs w:val="22"/>
        </w:rPr>
      </w:pPr>
      <w:r>
        <w:rPr>
          <w:b/>
          <w:sz w:val="22"/>
          <w:szCs w:val="22"/>
        </w:rPr>
        <w:t>]</w:t>
      </w:r>
    </w:p>
    <w:p w14:paraId="48618AE3" w14:textId="77777777" w:rsidR="003436FE" w:rsidRPr="002B370E" w:rsidRDefault="003436FE" w:rsidP="003436FE">
      <w:pPr>
        <w:keepNext/>
        <w:spacing w:before="120" w:after="120"/>
        <w:ind w:left="567" w:hanging="567"/>
        <w:jc w:val="both"/>
        <w:rPr>
          <w:b/>
          <w:sz w:val="22"/>
          <w:szCs w:val="22"/>
          <w:u w:val="single"/>
        </w:rPr>
      </w:pPr>
      <w:r>
        <w:rPr>
          <w:b/>
          <w:sz w:val="22"/>
          <w:szCs w:val="22"/>
        </w:rPr>
        <w:t>14.2.</w:t>
      </w:r>
      <w:r>
        <w:rPr>
          <w:b/>
          <w:sz w:val="22"/>
          <w:szCs w:val="22"/>
        </w:rPr>
        <w:tab/>
        <w:t>Firma del contrato o contratos</w:t>
      </w:r>
    </w:p>
    <w:p w14:paraId="611A0134" w14:textId="77777777" w:rsidR="003436FE" w:rsidRPr="002B370E" w:rsidRDefault="003436FE" w:rsidP="003436FE">
      <w:pPr>
        <w:pStyle w:val="BodyText2"/>
        <w:tabs>
          <w:tab w:val="clear" w:pos="567"/>
          <w:tab w:val="left" w:pos="0"/>
          <w:tab w:val="left" w:pos="630"/>
        </w:tabs>
        <w:spacing w:before="120" w:after="120"/>
        <w:rPr>
          <w:sz w:val="22"/>
          <w:szCs w:val="22"/>
        </w:rPr>
      </w:pPr>
      <w:r>
        <w:rPr>
          <w:sz w:val="22"/>
          <w:szCs w:val="22"/>
        </w:rPr>
        <w:t>En un plazo de 30 días desde la recepción del contrato firmado por el Órgano de Contratación, el adjudicatario lo firmará y fechará y lo devolverá al Órgano de Contratación.</w:t>
      </w:r>
    </w:p>
    <w:p w14:paraId="3DAD0075" w14:textId="77777777" w:rsidR="003436FE" w:rsidRPr="002B370E" w:rsidRDefault="003436FE" w:rsidP="003436FE">
      <w:pPr>
        <w:pStyle w:val="BodyText2"/>
        <w:tabs>
          <w:tab w:val="clear" w:pos="567"/>
          <w:tab w:val="left" w:pos="0"/>
          <w:tab w:val="left" w:pos="630"/>
        </w:tabs>
        <w:spacing w:before="120" w:after="120"/>
        <w:rPr>
          <w:sz w:val="22"/>
          <w:szCs w:val="22"/>
        </w:rPr>
      </w:pPr>
      <w:r>
        <w:rPr>
          <w:sz w:val="22"/>
          <w:szCs w:val="22"/>
        </w:rPr>
        <w:t xml:space="preserve">El incumplimiento de este requisito por parte del adjudicatario puede constituir un motivo de anulación de la decisión de adjudicación del contrato. En este caso, el Órgano de Contratación podrá adjudicar el contrato a otro licitador o anular el procedimiento de licitación. </w:t>
      </w:r>
    </w:p>
    <w:p w14:paraId="30F756CE" w14:textId="74DB3571" w:rsidR="003436FE" w:rsidRDefault="003436FE" w:rsidP="003436FE">
      <w:pPr>
        <w:pStyle w:val="BodyText2"/>
        <w:tabs>
          <w:tab w:val="clear" w:pos="567"/>
          <w:tab w:val="left" w:pos="0"/>
          <w:tab w:val="left" w:pos="630"/>
        </w:tabs>
        <w:spacing w:before="120" w:after="120"/>
        <w:rPr>
          <w:rStyle w:val="Style11pt"/>
        </w:rPr>
      </w:pPr>
      <w:r>
        <w:rPr>
          <w:sz w:val="22"/>
          <w:szCs w:val="22"/>
        </w:rPr>
        <w:t>Al mismo tiempo que se presenta la notificación de adjudicación, se informará a los licitadores restantes de que sus ofertas no han sido elegidas por correo electrónico o a través de una carta ordinaria en la que se indicarán las deficiencias relativas de su oferta mediante una tabla en la que se compararán la puntuación de la oferta ganadora con las de las ofertas no seleccionadas.</w:t>
      </w:r>
      <w:r>
        <w:t xml:space="preserve"> E</w:t>
      </w:r>
      <w:r>
        <w:rPr>
          <w:rStyle w:val="Style11pt"/>
        </w:rPr>
        <w:t>l segundo mejor licitador será informado de la notificación de adjudicación al adjudicatario con la reserva de la posibilidad de recibir una notificación de adjudicación en caso de no poder firmar el contrato con el licitador clasificado en primer lugar. El segundo licitador podrá rechazar la adjudicación del contrato si, al recibir la notificación de la adjudicación, ha expirado el plazo de 90 días de validez de la oferta.</w:t>
      </w:r>
    </w:p>
    <w:p w14:paraId="1BC9EF8F" w14:textId="77777777" w:rsidR="00F11E9B" w:rsidRPr="00F11E9B" w:rsidRDefault="00F11E9B" w:rsidP="00F11E9B">
      <w:pPr>
        <w:pStyle w:val="Style11ptJustifiedAfter12pt"/>
      </w:pPr>
      <w:r>
        <w:rPr>
          <w:rStyle w:val="Style11pt"/>
        </w:rPr>
        <w:t>Además, el Órgano de Contratación informará al mismo tiempo del resultado del procedimiento de contratación al resto de los licitadores no seleccionados. Como consecuencia de estas cartas, la validez de sus ofertas no será mantenida.</w:t>
      </w:r>
    </w:p>
    <w:p w14:paraId="2CF808CF" w14:textId="0854B7DD" w:rsidR="003436FE" w:rsidRPr="002B370E" w:rsidRDefault="003436FE" w:rsidP="003436FE">
      <w:pPr>
        <w:pStyle w:val="BodyText2"/>
        <w:tabs>
          <w:tab w:val="clear" w:pos="567"/>
          <w:tab w:val="left" w:pos="0"/>
          <w:tab w:val="left" w:pos="630"/>
        </w:tabs>
        <w:spacing w:before="120" w:after="120"/>
        <w:rPr>
          <w:sz w:val="22"/>
          <w:szCs w:val="22"/>
        </w:rPr>
      </w:pPr>
      <w:r>
        <w:rPr>
          <w:sz w:val="22"/>
          <w:szCs w:val="22"/>
        </w:rPr>
        <w:t xml:space="preserve">El correspondiente anuncio de adjudicación del contrato se publicará en TED. </w:t>
      </w:r>
    </w:p>
    <w:p w14:paraId="5D1B71B7" w14:textId="351E4A70" w:rsidR="00A019FF" w:rsidRDefault="008F2B98" w:rsidP="00F52C4F">
      <w:pPr>
        <w:keepNext/>
        <w:spacing w:before="120" w:after="120"/>
        <w:jc w:val="both"/>
      </w:pPr>
      <w:r>
        <w:rPr>
          <w:b/>
          <w:sz w:val="24"/>
          <w:szCs w:val="24"/>
        </w:rPr>
        <w:lastRenderedPageBreak/>
        <w:t>15. Anulación de la licitación</w:t>
      </w:r>
    </w:p>
    <w:p w14:paraId="00E660E3" w14:textId="77777777" w:rsidR="003C680B" w:rsidRDefault="003436FE" w:rsidP="003436FE">
      <w:pPr>
        <w:pStyle w:val="BodyText2"/>
        <w:tabs>
          <w:tab w:val="clear" w:pos="567"/>
          <w:tab w:val="left" w:pos="0"/>
          <w:tab w:val="left" w:pos="630"/>
        </w:tabs>
        <w:spacing w:before="120" w:after="120"/>
        <w:rPr>
          <w:sz w:val="22"/>
          <w:szCs w:val="22"/>
        </w:rPr>
      </w:pPr>
      <w:r>
        <w:rPr>
          <w:sz w:val="22"/>
          <w:szCs w:val="22"/>
        </w:rPr>
        <w:t>En caso de anulación del procedimiento de licitación, el Órgano de Contratación se lo notificará a los licitadores.</w:t>
      </w:r>
    </w:p>
    <w:p w14:paraId="211F8B0E" w14:textId="661A8A85" w:rsidR="003C680B" w:rsidRDefault="003C680B" w:rsidP="003436FE">
      <w:pPr>
        <w:pStyle w:val="BodyText2"/>
        <w:tabs>
          <w:tab w:val="clear" w:pos="567"/>
          <w:tab w:val="left" w:pos="0"/>
          <w:tab w:val="left" w:pos="630"/>
        </w:tabs>
        <w:spacing w:before="120" w:after="120"/>
        <w:rPr>
          <w:sz w:val="22"/>
          <w:szCs w:val="22"/>
        </w:rPr>
      </w:pPr>
      <w:r>
        <w:rPr>
          <w:sz w:val="22"/>
          <w:szCs w:val="22"/>
        </w:rPr>
        <w:t>[</w:t>
      </w:r>
      <w:r>
        <w:rPr>
          <w:sz w:val="22"/>
          <w:szCs w:val="22"/>
          <w:highlight w:val="yellow"/>
        </w:rPr>
        <w:t>Presentación en papel (gestión indirecta):</w:t>
      </w:r>
    </w:p>
    <w:p w14:paraId="52266078" w14:textId="5F872B30" w:rsidR="003436FE" w:rsidRPr="002B370E" w:rsidRDefault="003436FE" w:rsidP="003436FE">
      <w:pPr>
        <w:pStyle w:val="BodyText2"/>
        <w:tabs>
          <w:tab w:val="clear" w:pos="567"/>
          <w:tab w:val="left" w:pos="0"/>
          <w:tab w:val="left" w:pos="630"/>
        </w:tabs>
        <w:spacing w:before="120" w:after="120"/>
        <w:rPr>
          <w:sz w:val="22"/>
          <w:szCs w:val="22"/>
        </w:rPr>
      </w:pPr>
      <w:r>
        <w:rPr>
          <w:sz w:val="22"/>
          <w:szCs w:val="22"/>
          <w:highlight w:val="lightGray"/>
        </w:rPr>
        <w:t>Si el procedimiento de licitación se anula antes de que se haya abierto ninguna plica, se devolverán a los licitadores las plicas cerradas y precintadas.</w:t>
      </w:r>
      <w:r>
        <w:rPr>
          <w:sz w:val="22"/>
          <w:szCs w:val="22"/>
        </w:rPr>
        <w:t>]</w:t>
      </w:r>
    </w:p>
    <w:p w14:paraId="254FAC68" w14:textId="77777777" w:rsidR="003436FE" w:rsidRPr="002B370E" w:rsidRDefault="003436FE" w:rsidP="003436FE">
      <w:pPr>
        <w:pStyle w:val="BodyText2"/>
        <w:tabs>
          <w:tab w:val="clear" w:pos="567"/>
          <w:tab w:val="left" w:pos="0"/>
          <w:tab w:val="left" w:pos="630"/>
        </w:tabs>
        <w:spacing w:before="120" w:after="120"/>
        <w:rPr>
          <w:sz w:val="22"/>
          <w:szCs w:val="22"/>
        </w:rPr>
      </w:pPr>
      <w:r>
        <w:rPr>
          <w:sz w:val="22"/>
          <w:szCs w:val="22"/>
        </w:rPr>
        <w:t>La anulación puede producirse, por ejemplo, en los siguientes casos:</w:t>
      </w:r>
    </w:p>
    <w:p w14:paraId="7C95D49D"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el procedimiento de licitación haya quedado desierto, es decir, cuando no se haya recibido ninguna oferta o ninguna de las recibidas sea aceptable desde el punto de vista cualitativo o financiero;</w:t>
      </w:r>
    </w:p>
    <w:p w14:paraId="1B0A8C24"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los datos técnicos o económicos del proyecto hayan sufrido una modificación fundamental;</w:t>
      </w:r>
    </w:p>
    <w:p w14:paraId="7EAEF35A"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circunstancias excepcionales o de fuerza mayor hagan imposible la ejecución normal del proyecto;</w:t>
      </w:r>
    </w:p>
    <w:p w14:paraId="18BABF54"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todas las ofertas aceptables desde el punto de vista técnico excedan los recursos financieros disponibles;</w:t>
      </w:r>
    </w:p>
    <w:p w14:paraId="4F4AC844"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se hayan incumplido obligaciones o producido irregularidades o fraudes en el procedimiento, en particular si han entorpecido su desarrollo en condiciones de competencia leal;</w:t>
      </w:r>
    </w:p>
    <w:p w14:paraId="02F1AEE0" w14:textId="77777777" w:rsidR="003436FE" w:rsidRPr="002B370E" w:rsidRDefault="003436FE" w:rsidP="003436FE">
      <w:pPr>
        <w:pStyle w:val="BodyText2"/>
        <w:numPr>
          <w:ilvl w:val="0"/>
          <w:numId w:val="33"/>
        </w:numPr>
        <w:tabs>
          <w:tab w:val="left" w:pos="0"/>
          <w:tab w:val="left" w:pos="630"/>
        </w:tabs>
        <w:spacing w:before="120" w:after="120"/>
        <w:rPr>
          <w:sz w:val="22"/>
          <w:szCs w:val="22"/>
        </w:rPr>
      </w:pPr>
      <w:r>
        <w:rPr>
          <w:sz w:val="22"/>
          <w:szCs w:val="22"/>
        </w:rPr>
        <w:t>cuando la adjudicación no cumpla con una buena gestión financiera, es decir, no respete los principios de economía, eficiencia y eficacia (por ejemplo, el precio propuesto por el licitador al que se adjudicó el contrato es objetivamente desproporcionado en comparación con el precio de mercado).</w:t>
      </w:r>
    </w:p>
    <w:p w14:paraId="0CCE7682" w14:textId="77777777" w:rsidR="003436FE" w:rsidRPr="002B370E" w:rsidRDefault="003436FE" w:rsidP="003436FE">
      <w:pPr>
        <w:pStyle w:val="BodyText2"/>
        <w:tabs>
          <w:tab w:val="clear" w:pos="567"/>
          <w:tab w:val="left" w:pos="0"/>
          <w:tab w:val="left" w:pos="630"/>
        </w:tabs>
        <w:spacing w:before="120" w:after="120"/>
        <w:rPr>
          <w:bCs/>
          <w:sz w:val="22"/>
          <w:szCs w:val="22"/>
        </w:rPr>
      </w:pPr>
      <w:r>
        <w:rPr>
          <w:bCs/>
          <w:sz w:val="22"/>
          <w:szCs w:val="22"/>
        </w:rPr>
        <w:t>En ningún caso podrá serle atribuida al Órgano de Contratación responsabilidad por cualesquiera daños, incluidos, sin carácter restrictivo, los daños por lucro cesante, dimanantes o relacionados en cualquier modo con la anulación de un procedimiento de licitación, incluso en el caso de que el Órgano de Contratación hubiere sido advertido de la posibilidad de la interposición de una reclamación por daños y perjuicios. La publicación de un anuncio de contrato no supone que el Órgano de Contratación contraiga obligación legal alguna de aplicar el programa o ejecutar el proyecto anunciado.</w:t>
      </w:r>
    </w:p>
    <w:p w14:paraId="67A5165E" w14:textId="77777777" w:rsidR="003436FE" w:rsidRPr="002B370E" w:rsidRDefault="008F2B98" w:rsidP="00695F78">
      <w:pPr>
        <w:keepNext/>
        <w:keepLines/>
        <w:spacing w:before="120" w:after="120"/>
        <w:jc w:val="both"/>
        <w:rPr>
          <w:b/>
          <w:sz w:val="24"/>
          <w:szCs w:val="24"/>
        </w:rPr>
      </w:pPr>
      <w:r>
        <w:rPr>
          <w:b/>
          <w:sz w:val="24"/>
          <w:szCs w:val="24"/>
        </w:rPr>
        <w:t>16. Recursos</w:t>
      </w:r>
    </w:p>
    <w:p w14:paraId="43580D60" w14:textId="77777777" w:rsidR="003436FE" w:rsidRPr="002B370E" w:rsidRDefault="003436FE" w:rsidP="003436FE">
      <w:pPr>
        <w:pStyle w:val="BodyText2"/>
        <w:keepNext/>
        <w:keepLines/>
        <w:tabs>
          <w:tab w:val="clear" w:pos="567"/>
          <w:tab w:val="left" w:pos="0"/>
          <w:tab w:val="left" w:pos="630"/>
        </w:tabs>
        <w:spacing w:before="120" w:after="120"/>
        <w:rPr>
          <w:sz w:val="22"/>
          <w:szCs w:val="22"/>
        </w:rPr>
      </w:pPr>
      <w:r>
        <w:rPr>
          <w:sz w:val="22"/>
          <w:szCs w:val="22"/>
        </w:rPr>
        <w:t>Los licitadores que consideren que han resultado perjudicados por un error o irregularidad durante el proceso de adjudicación podrán presentar una reclamación. Véase el apartado 2.12 de la Guía Práctica.</w:t>
      </w:r>
    </w:p>
    <w:p w14:paraId="2405E262" w14:textId="77777777" w:rsidR="00395A65" w:rsidRPr="00D54FCF" w:rsidRDefault="00395A65" w:rsidP="00395A65">
      <w:pPr>
        <w:keepNext/>
        <w:spacing w:before="120" w:after="120"/>
        <w:jc w:val="both"/>
        <w:rPr>
          <w:b/>
          <w:bCs/>
          <w:sz w:val="24"/>
          <w:szCs w:val="24"/>
        </w:rPr>
      </w:pPr>
      <w:r>
        <w:rPr>
          <w:b/>
          <w:bCs/>
          <w:sz w:val="24"/>
          <w:szCs w:val="24"/>
        </w:rPr>
        <w:t>17. Protección de datos</w:t>
      </w:r>
    </w:p>
    <w:p w14:paraId="10CAA086" w14:textId="23595A76" w:rsidR="00956082" w:rsidRPr="00D54FCF" w:rsidRDefault="00E527B2" w:rsidP="00D54FCF">
      <w:pPr>
        <w:pStyle w:val="BodyText2"/>
        <w:tabs>
          <w:tab w:val="clear" w:pos="567"/>
          <w:tab w:val="left" w:pos="0"/>
          <w:tab w:val="left" w:pos="630"/>
        </w:tabs>
        <w:spacing w:before="120" w:after="120"/>
        <w:rPr>
          <w:sz w:val="22"/>
          <w:szCs w:val="22"/>
          <w:highlight w:val="yellow"/>
        </w:rPr>
      </w:pPr>
      <w:r>
        <w:rPr>
          <w:sz w:val="22"/>
          <w:szCs w:val="22"/>
          <w:highlight w:val="yellow"/>
        </w:rPr>
        <w:t>[En caso de gestión directa:</w:t>
      </w:r>
    </w:p>
    <w:p w14:paraId="487CDCC4" w14:textId="57F2B280" w:rsidR="00395A65" w:rsidRPr="002A75C6" w:rsidRDefault="00395A65" w:rsidP="00395A65">
      <w:pPr>
        <w:pStyle w:val="BodyText"/>
        <w:jc w:val="both"/>
        <w:rPr>
          <w:sz w:val="22"/>
          <w:szCs w:val="22"/>
          <w:highlight w:val="lightGray"/>
        </w:rPr>
      </w:pPr>
      <w:r>
        <w:rPr>
          <w:sz w:val="22"/>
          <w:szCs w:val="22"/>
          <w:highlight w:val="lightGray"/>
        </w:rPr>
        <w:t xml:space="preserve">Si el tratamiento de la respuesta a la invitación a licitar implica el registro y el tratamiento de datos personales (tales como los nombres y apellidos, datos de contacto y CV), estos datos </w:t>
      </w:r>
      <w:r>
        <w:rPr>
          <w:sz w:val="22"/>
          <w:szCs w:val="22"/>
          <w:highlight w:val="lightGray"/>
        </w:rPr>
        <w:lastRenderedPageBreak/>
        <w:t>serán tratados</w:t>
      </w:r>
      <w:r w:rsidRPr="002A75C6">
        <w:rPr>
          <w:rStyle w:val="FootnoteReference"/>
          <w:sz w:val="22"/>
          <w:szCs w:val="22"/>
          <w:highlight w:val="lightGray"/>
        </w:rPr>
        <w:footnoteReference w:id="8"/>
      </w:r>
      <w:r>
        <w:rPr>
          <w:sz w:val="22"/>
          <w:szCs w:val="22"/>
          <w:highlight w:val="lightGray"/>
        </w:rPr>
        <w:t xml:space="preserve"> por el responsable del tratamiento de datos únicamente a efectos de la gestión y el seguimiento de la oferta y del contrato, sin perjuicio de su posible transmisión a los órganos responsables de tareas de supervisión o inspección en aplicación del Derecho de la UE. Asimismo, dado que el contrato se refiere a una acción exterior en países socios no pertenecientes a la UE y dado que la UE, representada por la Comisión Europea, actúa como Órgano de Contratación en nombre y en beneficio de los países socios, podrán transmitirse datos personales al país socio, únicamente a efectos de que la Comisión Europea cumpla sus obligaciones en virtud del marco legislativo aplicable y del convenio de financiación celebrado entre la UE y el país socio en relación con el presente procedimiento de licitación. Puede obtener información más detallada sobre el tratamiento de sus datos personales en la declaración de privacidad que figura en: </w:t>
      </w:r>
    </w:p>
    <w:p w14:paraId="08316F09" w14:textId="36D96EE1" w:rsidR="0075795B" w:rsidRPr="002A75C6" w:rsidRDefault="00844B94" w:rsidP="00395A65">
      <w:pPr>
        <w:pStyle w:val="BodyText2"/>
        <w:tabs>
          <w:tab w:val="left" w:pos="0"/>
          <w:tab w:val="left" w:pos="630"/>
        </w:tabs>
        <w:spacing w:before="120" w:after="120"/>
        <w:rPr>
          <w:color w:val="1F497D"/>
          <w:sz w:val="22"/>
          <w:szCs w:val="22"/>
          <w:highlight w:val="lightGray"/>
        </w:rPr>
      </w:pPr>
      <w:hyperlink r:id="rId15" w:anchor="Anexos-AnexosA(Ch.2):Generalidades" w:history="1">
        <w:r w:rsidR="002C565F">
          <w:rPr>
            <w:rStyle w:val="Hyperlink"/>
            <w:sz w:val="22"/>
            <w:szCs w:val="22"/>
            <w:highlight w:val="lightGray"/>
          </w:rPr>
          <w:t>https://wikis.ec.europa.eu/display/ExactExternalWikiES/Anexos#Anexos-AnexosA(Ch.2):Generalidades</w:t>
        </w:r>
      </w:hyperlink>
      <w:r w:rsidR="00395A65" w:rsidRPr="002A75C6">
        <w:rPr>
          <w:rStyle w:val="FootnoteReference"/>
          <w:sz w:val="22"/>
          <w:szCs w:val="22"/>
          <w:highlight w:val="lightGray"/>
        </w:rPr>
        <w:footnoteReference w:id="9"/>
      </w:r>
    </w:p>
    <w:p w14:paraId="7B557CE5" w14:textId="77777777" w:rsidR="00395A65" w:rsidRPr="002A75C6" w:rsidRDefault="00395A65" w:rsidP="00395A65">
      <w:pPr>
        <w:pStyle w:val="BodyText2"/>
        <w:tabs>
          <w:tab w:val="left" w:pos="0"/>
          <w:tab w:val="left" w:pos="630"/>
        </w:tabs>
        <w:spacing w:before="120" w:after="120"/>
        <w:rPr>
          <w:color w:val="1F497D"/>
          <w:sz w:val="22"/>
          <w:szCs w:val="22"/>
          <w:highlight w:val="lightGray"/>
        </w:rPr>
      </w:pPr>
      <w:r>
        <w:rPr>
          <w:sz w:val="22"/>
          <w:szCs w:val="22"/>
          <w:highlight w:val="lightGray"/>
        </w:rPr>
        <w:br/>
        <w:t>En los casos en los que trate datos personales en el contexto de la participación en una licitación (por ejemplo, currículos de expertos principales y expertos técnicos) o la ejecución de un contrato (por ejemplo, sustitución de expertos), deberá comunicar a los interesados los detalles del tratamiento y transmitirles la declaración de privacidad mencionada anteriormente.</w:t>
      </w:r>
    </w:p>
    <w:p w14:paraId="19A565A3" w14:textId="0D80D528" w:rsidR="00395A65" w:rsidRPr="00D54FCF" w:rsidRDefault="00395A65" w:rsidP="00395A65">
      <w:pPr>
        <w:pStyle w:val="BodyText2"/>
        <w:tabs>
          <w:tab w:val="left" w:pos="0"/>
          <w:tab w:val="left" w:pos="630"/>
        </w:tabs>
        <w:spacing w:before="120" w:after="120"/>
        <w:rPr>
          <w:sz w:val="22"/>
          <w:szCs w:val="22"/>
        </w:rPr>
      </w:pPr>
      <w:r>
        <w:rPr>
          <w:sz w:val="22"/>
          <w:szCs w:val="22"/>
        </w:rPr>
        <w:t>[</w:t>
      </w:r>
      <w:r>
        <w:rPr>
          <w:sz w:val="22"/>
          <w:szCs w:val="22"/>
          <w:highlight w:val="yellow"/>
        </w:rPr>
        <w:t>Para la DG INTPA:</w:t>
      </w:r>
      <w:r>
        <w:rPr>
          <w:sz w:val="22"/>
          <w:szCs w:val="22"/>
        </w:rPr>
        <w:t xml:space="preserve"> </w:t>
      </w:r>
      <w:r>
        <w:rPr>
          <w:sz w:val="22"/>
          <w:szCs w:val="22"/>
          <w:highlight w:val="lightGray"/>
        </w:rPr>
        <w:t>el responsable del tratamiento de datos de las licitaciones es el jefe de la Unidad de asuntos jurídicos de la DG Asociaciones Internacionales</w:t>
      </w:r>
      <w:r>
        <w:rPr>
          <w:sz w:val="22"/>
          <w:szCs w:val="22"/>
        </w:rPr>
        <w:t>]</w:t>
      </w:r>
    </w:p>
    <w:p w14:paraId="556822A6" w14:textId="77777777" w:rsidR="0075795B" w:rsidRPr="002A75C6" w:rsidRDefault="00395A65" w:rsidP="00395A65">
      <w:pPr>
        <w:tabs>
          <w:tab w:val="left" w:pos="0"/>
          <w:tab w:val="left" w:pos="630"/>
        </w:tabs>
        <w:spacing w:before="120" w:after="120"/>
        <w:jc w:val="both"/>
        <w:rPr>
          <w:sz w:val="22"/>
          <w:szCs w:val="22"/>
          <w:highlight w:val="lightGray"/>
        </w:rPr>
      </w:pPr>
      <w:r>
        <w:rPr>
          <w:sz w:val="22"/>
          <w:szCs w:val="22"/>
        </w:rPr>
        <w:t>[</w:t>
      </w:r>
      <w:r>
        <w:rPr>
          <w:sz w:val="22"/>
          <w:szCs w:val="22"/>
          <w:highlight w:val="yellow"/>
        </w:rPr>
        <w:t>Para la DG NEAR</w:t>
      </w:r>
      <w:r>
        <w:rPr>
          <w:sz w:val="22"/>
          <w:szCs w:val="22"/>
        </w:rPr>
        <w:t xml:space="preserve">: </w:t>
      </w:r>
      <w:r>
        <w:rPr>
          <w:sz w:val="22"/>
          <w:szCs w:val="22"/>
          <w:highlight w:val="lightGray"/>
        </w:rPr>
        <w:t>el responsable del tratamiento de datos de las licitaciones es el jefe de la Unidad R4 Contratos y financiación de la DG Política de Vecindad y Negociaciones de Ampliación]</w:t>
      </w:r>
    </w:p>
    <w:p w14:paraId="7938EF36" w14:textId="3509D61F" w:rsidR="00395A65" w:rsidRPr="00D54FCF" w:rsidRDefault="00395A65" w:rsidP="00395A65">
      <w:pPr>
        <w:tabs>
          <w:tab w:val="left" w:pos="0"/>
          <w:tab w:val="left" w:pos="630"/>
        </w:tabs>
        <w:spacing w:before="120" w:after="120"/>
        <w:jc w:val="both"/>
        <w:rPr>
          <w:sz w:val="22"/>
          <w:szCs w:val="22"/>
        </w:rPr>
      </w:pPr>
      <w:r>
        <w:rPr>
          <w:sz w:val="22"/>
          <w:szCs w:val="22"/>
          <w:highlight w:val="yellow"/>
        </w:rPr>
        <w:t xml:space="preserve">[Para cualquier otra DG: </w:t>
      </w:r>
      <w:r>
        <w:rPr>
          <w:sz w:val="22"/>
          <w:szCs w:val="22"/>
          <w:highlight w:val="lightGray"/>
        </w:rPr>
        <w:t>El responsable de su licitación es</w:t>
      </w:r>
      <w:r>
        <w:rPr>
          <w:sz w:val="22"/>
          <w:szCs w:val="22"/>
        </w:rPr>
        <w:t xml:space="preserve"> &lt;</w:t>
      </w:r>
      <w:r>
        <w:rPr>
          <w:sz w:val="22"/>
          <w:szCs w:val="22"/>
          <w:highlight w:val="yellow"/>
        </w:rPr>
        <w:t>introduzca el nombre del responsable del tratamiento</w:t>
      </w:r>
      <w:r w:rsidRPr="00D54FCF">
        <w:rPr>
          <w:sz w:val="22"/>
          <w:szCs w:val="22"/>
          <w:highlight w:val="yellow"/>
          <w:vertAlign w:val="superscript"/>
        </w:rPr>
        <w:footnoteReference w:id="10"/>
      </w:r>
      <w:r>
        <w:rPr>
          <w:sz w:val="22"/>
          <w:szCs w:val="22"/>
        </w:rPr>
        <w:t>&gt;</w:t>
      </w:r>
      <w:r>
        <w:rPr>
          <w:sz w:val="22"/>
          <w:szCs w:val="22"/>
          <w:highlight w:val="lightGray"/>
        </w:rPr>
        <w:t>.</w:t>
      </w:r>
      <w:r>
        <w:rPr>
          <w:sz w:val="22"/>
          <w:szCs w:val="22"/>
        </w:rPr>
        <w:t xml:space="preserve">]] </w:t>
      </w:r>
    </w:p>
    <w:p w14:paraId="183DD205" w14:textId="05F8F93F" w:rsidR="00395A65" w:rsidRPr="00D54FCF" w:rsidRDefault="00E527B2" w:rsidP="00395A65">
      <w:pPr>
        <w:spacing w:before="120"/>
        <w:jc w:val="both"/>
        <w:rPr>
          <w:sz w:val="22"/>
          <w:szCs w:val="22"/>
        </w:rPr>
      </w:pPr>
      <w:r>
        <w:rPr>
          <w:sz w:val="22"/>
          <w:szCs w:val="22"/>
          <w:highlight w:val="yellow"/>
        </w:rPr>
        <w:t>[Para la gestión indirecta:</w:t>
      </w:r>
    </w:p>
    <w:p w14:paraId="16AED6C5" w14:textId="3B7EA9D9" w:rsidR="00395A65" w:rsidRPr="002A75C6" w:rsidRDefault="00395A65" w:rsidP="00956082">
      <w:pPr>
        <w:spacing w:before="120"/>
        <w:jc w:val="both"/>
        <w:rPr>
          <w:sz w:val="22"/>
          <w:szCs w:val="22"/>
          <w:highlight w:val="lightGray"/>
        </w:rPr>
      </w:pPr>
      <w:r>
        <w:rPr>
          <w:sz w:val="22"/>
          <w:szCs w:val="22"/>
          <w:highlight w:val="lightGray"/>
        </w:rPr>
        <w:t>El tratamiento de los datos personales relacionados con el presente procedimiento de licitación por el Órgano de Contratación se realizará de conformidad con la legislación nacional del Estado del Órgano de Contratación y con las disposiciones del convenio de financiación correspondiente.</w:t>
      </w:r>
    </w:p>
    <w:p w14:paraId="4C720BF2" w14:textId="77777777" w:rsidR="00395A65" w:rsidRPr="00D54FCF" w:rsidRDefault="00395A65" w:rsidP="00956082">
      <w:pPr>
        <w:spacing w:before="120"/>
        <w:jc w:val="both"/>
        <w:rPr>
          <w:sz w:val="22"/>
          <w:szCs w:val="22"/>
        </w:rPr>
      </w:pPr>
      <w:r>
        <w:rPr>
          <w:sz w:val="22"/>
          <w:szCs w:val="22"/>
          <w:highlight w:val="lightGray"/>
        </w:rPr>
        <w:t xml:space="preserve">El procedimiento de licitación y el contrato se refieren a una acción exterior financiada por la UE, representada por la Comisión Europea. Si el tratamiento de su respuesta a la invitación a licitar implica la transferencia de datos personales (como nombres, datos de contacto y CV) a la Comisión Europea, serán objeto de tratamiento únicamente a efectos del seguimiento del procedimiento de contratación pública y de la ejecución del contrato por parte de la Comisión, para que esta cumpla sus obligaciones en virtud del marco legislativo aplicable y del acuerdo de financiación celebrado entre la UE y el país socio, sin perjuicio de su posible transmisión a </w:t>
      </w:r>
      <w:r>
        <w:rPr>
          <w:sz w:val="22"/>
          <w:szCs w:val="22"/>
          <w:highlight w:val="lightGray"/>
        </w:rPr>
        <w:lastRenderedPageBreak/>
        <w:t>los órganos encargados de las tareas de supervisión o inspección en aplicación del Derecho de la UE. Respecto a la parte de los datos transferidos por el Órgano de Contratación a la Comisión Europea, el responsable del tratamiento de los datos personales llevado a cabo en la Comisión es:</w:t>
      </w:r>
    </w:p>
    <w:p w14:paraId="4E412E96" w14:textId="055A9FD8" w:rsidR="00395A65" w:rsidRPr="002A75C6" w:rsidRDefault="00395A65" w:rsidP="00956082">
      <w:pPr>
        <w:spacing w:before="120"/>
        <w:jc w:val="both"/>
        <w:rPr>
          <w:sz w:val="22"/>
          <w:szCs w:val="22"/>
          <w:highlight w:val="lightGray"/>
        </w:rPr>
      </w:pPr>
      <w:r>
        <w:rPr>
          <w:sz w:val="22"/>
          <w:szCs w:val="22"/>
        </w:rPr>
        <w:t>[</w:t>
      </w:r>
      <w:r>
        <w:rPr>
          <w:sz w:val="22"/>
          <w:szCs w:val="22"/>
          <w:highlight w:val="yellow"/>
        </w:rPr>
        <w:t>Para la DG INTPA:</w:t>
      </w:r>
      <w:r>
        <w:rPr>
          <w:sz w:val="22"/>
          <w:szCs w:val="22"/>
        </w:rPr>
        <w:t xml:space="preserve"> </w:t>
      </w:r>
      <w:r>
        <w:rPr>
          <w:sz w:val="22"/>
          <w:szCs w:val="22"/>
          <w:highlight w:val="lightGray"/>
        </w:rPr>
        <w:t>el jefe de la Unidad de asuntos jurídicos de la DG Asociaciones Internacionales.</w:t>
      </w:r>
      <w:r>
        <w:rPr>
          <w:sz w:val="22"/>
          <w:szCs w:val="22"/>
        </w:rPr>
        <w:t>]</w:t>
      </w:r>
    </w:p>
    <w:p w14:paraId="35A50B02" w14:textId="77777777" w:rsidR="00395A65" w:rsidRPr="00D54FCF" w:rsidRDefault="00395A65" w:rsidP="00956082">
      <w:pPr>
        <w:spacing w:before="120"/>
        <w:jc w:val="both"/>
        <w:rPr>
          <w:sz w:val="22"/>
          <w:szCs w:val="22"/>
        </w:rPr>
      </w:pPr>
      <w:r>
        <w:rPr>
          <w:sz w:val="22"/>
          <w:szCs w:val="22"/>
        </w:rPr>
        <w:t>[</w:t>
      </w:r>
      <w:r>
        <w:rPr>
          <w:sz w:val="22"/>
          <w:szCs w:val="22"/>
          <w:highlight w:val="yellow"/>
        </w:rPr>
        <w:t>Para la DG NEAR</w:t>
      </w:r>
      <w:r>
        <w:rPr>
          <w:sz w:val="22"/>
          <w:szCs w:val="22"/>
        </w:rPr>
        <w:t xml:space="preserve">: </w:t>
      </w:r>
      <w:r>
        <w:rPr>
          <w:sz w:val="22"/>
          <w:szCs w:val="22"/>
          <w:highlight w:val="lightGray"/>
        </w:rPr>
        <w:t>el jefe de la Unidad R4 Contratos y financiación de la DG Política de Vecindad y Negociaciones de Ampliación]</w:t>
      </w:r>
    </w:p>
    <w:p w14:paraId="17A40F64" w14:textId="77777777" w:rsidR="00395A65" w:rsidRPr="00D54FCF" w:rsidRDefault="00395A65" w:rsidP="00956082">
      <w:pPr>
        <w:spacing w:before="120"/>
        <w:jc w:val="both"/>
        <w:rPr>
          <w:sz w:val="22"/>
          <w:szCs w:val="22"/>
        </w:rPr>
      </w:pPr>
      <w:r>
        <w:rPr>
          <w:sz w:val="22"/>
          <w:szCs w:val="22"/>
        </w:rPr>
        <w:t>[</w:t>
      </w:r>
      <w:r>
        <w:rPr>
          <w:sz w:val="22"/>
          <w:szCs w:val="22"/>
          <w:highlight w:val="yellow"/>
        </w:rPr>
        <w:t>Para cualquier otra DG: &lt;introduzca el nombre del responsable del tratamiento&gt;</w:t>
      </w:r>
      <w:r>
        <w:rPr>
          <w:sz w:val="22"/>
          <w:szCs w:val="22"/>
        </w:rPr>
        <w:t>.]</w:t>
      </w:r>
    </w:p>
    <w:p w14:paraId="0BEF23A2" w14:textId="77777777" w:rsidR="00395A65" w:rsidRPr="002A75C6" w:rsidRDefault="00395A65" w:rsidP="00956082">
      <w:pPr>
        <w:spacing w:before="120"/>
        <w:jc w:val="both"/>
        <w:rPr>
          <w:sz w:val="22"/>
          <w:szCs w:val="22"/>
          <w:highlight w:val="lightGray"/>
        </w:rPr>
      </w:pPr>
      <w:r>
        <w:rPr>
          <w:sz w:val="22"/>
          <w:szCs w:val="22"/>
          <w:highlight w:val="lightGray"/>
        </w:rPr>
        <w:t>Puede obtener información más detallada sobre el tratamiento de sus datos personales por parte de la Comisión en la declaración de privacidad que figura en:</w:t>
      </w:r>
    </w:p>
    <w:p w14:paraId="7C018369" w14:textId="453D0A6E" w:rsidR="00395A65" w:rsidRPr="002A75C6" w:rsidRDefault="00844B94" w:rsidP="00395A65">
      <w:pPr>
        <w:ind w:left="720"/>
        <w:rPr>
          <w:sz w:val="22"/>
          <w:szCs w:val="22"/>
          <w:highlight w:val="lightGray"/>
        </w:rPr>
      </w:pPr>
      <w:hyperlink r:id="rId16" w:anchor="Anexos-AnexosA(Ch.2):Generalidades" w:history="1">
        <w:r w:rsidR="002C565F" w:rsidRPr="00A10CF4">
          <w:rPr>
            <w:rStyle w:val="Hyperlink"/>
            <w:sz w:val="22"/>
            <w:szCs w:val="22"/>
          </w:rPr>
          <w:t>https://wikis.ec.europa.eu/display/ExactExternalWikiES/Anexos#Anexos-AnexosA(Ch.2):Generalidades</w:t>
        </w:r>
      </w:hyperlink>
      <w:r w:rsidR="002C565F" w:rsidRPr="00085F08" w:rsidDel="002C565F">
        <w:rPr>
          <w:sz w:val="22"/>
          <w:szCs w:val="22"/>
        </w:rPr>
        <w:t xml:space="preserve"> </w:t>
      </w:r>
    </w:p>
    <w:p w14:paraId="611B4BDA" w14:textId="77777777" w:rsidR="00395A65" w:rsidRPr="00D54FCF" w:rsidRDefault="00395A65" w:rsidP="00395A65">
      <w:pPr>
        <w:jc w:val="both"/>
        <w:rPr>
          <w:sz w:val="22"/>
          <w:szCs w:val="22"/>
        </w:rPr>
      </w:pPr>
      <w:r>
        <w:rPr>
          <w:sz w:val="22"/>
          <w:szCs w:val="22"/>
          <w:highlight w:val="lightGray"/>
        </w:rPr>
        <w:t>En los casos en los que trate datos personales en el contexto de la participación en una licitación (por ejemplo, currículos de expertos principales y expertos técnicos) o la ejecución de un contrato (por ejemplo, sustitución de expertos), deberá comunicar a los interesados la posible transmisión de sus datos a las instituciones y organismos de la UE y transmitirles la declaración de privacidad mencionada anteriormente.</w:t>
      </w:r>
    </w:p>
    <w:p w14:paraId="6F39DC02" w14:textId="77777777" w:rsidR="003436FE" w:rsidRPr="00D54FCF" w:rsidRDefault="003436FE" w:rsidP="003436FE">
      <w:pPr>
        <w:keepNext/>
        <w:spacing w:before="240" w:after="240"/>
        <w:jc w:val="both"/>
        <w:rPr>
          <w:b/>
          <w:bCs/>
          <w:sz w:val="24"/>
          <w:szCs w:val="24"/>
        </w:rPr>
      </w:pPr>
      <w:r>
        <w:rPr>
          <w:b/>
          <w:bCs/>
          <w:sz w:val="24"/>
          <w:szCs w:val="24"/>
        </w:rPr>
        <w:t>18.</w:t>
      </w:r>
      <w:r>
        <w:rPr>
          <w:b/>
          <w:bCs/>
          <w:sz w:val="24"/>
          <w:szCs w:val="24"/>
        </w:rPr>
        <w:tab/>
        <w:t xml:space="preserve">Sistema de detección precoz y exclusión </w:t>
      </w:r>
    </w:p>
    <w:p w14:paraId="19BA358F" w14:textId="77777777" w:rsidR="008244BC" w:rsidRPr="00956082" w:rsidRDefault="003436FE" w:rsidP="000E38EE">
      <w:pPr>
        <w:spacing w:after="60"/>
        <w:jc w:val="both"/>
        <w:rPr>
          <w:sz w:val="22"/>
          <w:szCs w:val="22"/>
        </w:rPr>
      </w:pPr>
      <w:r>
        <w:rPr>
          <w:sz w:val="22"/>
          <w:szCs w:val="22"/>
        </w:rPr>
        <w:t>Se informa a los licitadores, y en caso de personas jurídicas, a aquellas personas que tengan facultades de representación, de toma de decisiones o de control sobre dichas personas jurídicas, de que, en caso de encontrarse en cualquiera de las situaciones de exclusión o detección precoz, sus datos personales (nombre y apellidos, en caso de personas físicas, domicilio, forma jurídica, nombre y apellidos de las personas con poderes de representación, de toma de decisiones o de control, en caso de personas jurídicas) podrían ser incluidos en el sistema de detección precoz y exclusión y comunicados a las personas y entidades afectadas, en relación con la adjudicación o ejecución de un contrato público.</w:t>
      </w:r>
    </w:p>
    <w:p w14:paraId="17A57A1B" w14:textId="7C47BB84" w:rsidR="003436FE" w:rsidRPr="00AD64B5" w:rsidRDefault="003436FE" w:rsidP="000E38EE">
      <w:pPr>
        <w:spacing w:after="60"/>
        <w:jc w:val="both"/>
        <w:rPr>
          <w:sz w:val="22"/>
          <w:szCs w:val="22"/>
        </w:rPr>
      </w:pPr>
    </w:p>
    <w:p w14:paraId="424A1867" w14:textId="77777777" w:rsidR="003436FE" w:rsidRPr="002B370E" w:rsidRDefault="003436FE" w:rsidP="00135920">
      <w:pPr>
        <w:pStyle w:val="BodyText2"/>
        <w:tabs>
          <w:tab w:val="clear" w:pos="567"/>
          <w:tab w:val="left" w:pos="0"/>
          <w:tab w:val="left" w:pos="630"/>
        </w:tabs>
        <w:spacing w:before="120" w:after="120"/>
        <w:rPr>
          <w:sz w:val="22"/>
          <w:szCs w:val="22"/>
        </w:rPr>
      </w:pPr>
    </w:p>
    <w:sectPr w:rsidR="003436FE" w:rsidRPr="002B370E" w:rsidSect="003C5CBF">
      <w:headerReference w:type="even" r:id="rId17"/>
      <w:headerReference w:type="default" r:id="rId18"/>
      <w:footerReference w:type="even" r:id="rId19"/>
      <w:footerReference w:type="default" r:id="rId20"/>
      <w:headerReference w:type="first" r:id="rId21"/>
      <w:footerReference w:type="first" r:id="rId22"/>
      <w:pgSz w:w="11906" w:h="16838"/>
      <w:pgMar w:top="1440" w:right="1800" w:bottom="1440" w:left="1800"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6869BD" w14:textId="77777777" w:rsidR="00FF4D14" w:rsidRDefault="00FF4D14">
      <w:r>
        <w:separator/>
      </w:r>
    </w:p>
  </w:endnote>
  <w:endnote w:type="continuationSeparator" w:id="0">
    <w:p w14:paraId="247A9ADE" w14:textId="77777777" w:rsidR="00FF4D14" w:rsidRDefault="00FF4D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Monotype Sorts">
    <w:altName w:val="Courier New"/>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662FA" w14:textId="77777777" w:rsidR="00FF4D14" w:rsidRDefault="00FF4D1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13</w:t>
    </w:r>
    <w:r>
      <w:rPr>
        <w:rStyle w:val="PageNumber"/>
      </w:rPr>
      <w:fldChar w:fldCharType="end"/>
    </w:r>
  </w:p>
  <w:p w14:paraId="698FD54D" w14:textId="77777777" w:rsidR="00FF4D14" w:rsidRDefault="00FF4D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5ADBB" w14:textId="0830643E" w:rsidR="00FF4D14" w:rsidRPr="002B370E" w:rsidRDefault="001D7DF6" w:rsidP="003C5CBF">
    <w:pPr>
      <w:pStyle w:val="Footer"/>
      <w:tabs>
        <w:tab w:val="clear" w:pos="4320"/>
        <w:tab w:val="clear" w:pos="8640"/>
        <w:tab w:val="right" w:pos="8080"/>
      </w:tabs>
      <w:spacing w:before="120"/>
      <w:rPr>
        <w:rStyle w:val="PageNumber"/>
      </w:rPr>
    </w:pPr>
    <w:r>
      <w:rPr>
        <w:b/>
        <w:sz w:val="18"/>
        <w:szCs w:val="18"/>
      </w:rPr>
      <w:t>2021</w:t>
    </w:r>
    <w:r w:rsidR="00152E43">
      <w:rPr>
        <w:b/>
        <w:sz w:val="18"/>
        <w:szCs w:val="18"/>
      </w:rPr>
      <w:t>.1</w:t>
    </w:r>
    <w:r>
      <w:rPr>
        <w:rFonts w:ascii="Arial" w:hAnsi="Arial"/>
      </w:rPr>
      <w:tab/>
    </w:r>
    <w:r>
      <w:t xml:space="preserve">Página </w:t>
    </w:r>
    <w:r w:rsidR="00FF4D14" w:rsidRPr="002B370E">
      <w:rPr>
        <w:rStyle w:val="PageNumber"/>
      </w:rPr>
      <w:fldChar w:fldCharType="begin"/>
    </w:r>
    <w:r w:rsidR="00FF4D14" w:rsidRPr="002B370E">
      <w:rPr>
        <w:rStyle w:val="PageNumber"/>
      </w:rPr>
      <w:instrText xml:space="preserve"> PAGE </w:instrText>
    </w:r>
    <w:r w:rsidR="00FF4D14" w:rsidRPr="002B370E">
      <w:rPr>
        <w:rStyle w:val="PageNumber"/>
      </w:rPr>
      <w:fldChar w:fldCharType="separate"/>
    </w:r>
    <w:r w:rsidR="00B86896">
      <w:rPr>
        <w:rStyle w:val="PageNumber"/>
        <w:noProof/>
      </w:rPr>
      <w:t>1</w:t>
    </w:r>
    <w:r w:rsidR="00FF4D14" w:rsidRPr="002B370E">
      <w:rPr>
        <w:rStyle w:val="PageNumber"/>
      </w:rPr>
      <w:fldChar w:fldCharType="end"/>
    </w:r>
    <w:r>
      <w:rPr>
        <w:rStyle w:val="PageNumber"/>
      </w:rPr>
      <w:t xml:space="preserve"> de </w:t>
    </w:r>
    <w:r w:rsidR="00FF4D14" w:rsidRPr="002B370E">
      <w:rPr>
        <w:rStyle w:val="PageNumber"/>
      </w:rPr>
      <w:fldChar w:fldCharType="begin"/>
    </w:r>
    <w:r w:rsidR="00FF4D14" w:rsidRPr="002B370E">
      <w:rPr>
        <w:rStyle w:val="PageNumber"/>
      </w:rPr>
      <w:instrText xml:space="preserve"> NUMPAGES </w:instrText>
    </w:r>
    <w:r w:rsidR="00FF4D14" w:rsidRPr="002B370E">
      <w:rPr>
        <w:rStyle w:val="PageNumber"/>
      </w:rPr>
      <w:fldChar w:fldCharType="separate"/>
    </w:r>
    <w:r w:rsidR="00B86896">
      <w:rPr>
        <w:rStyle w:val="PageNumber"/>
        <w:noProof/>
      </w:rPr>
      <w:t>3</w:t>
    </w:r>
    <w:r w:rsidR="00FF4D14" w:rsidRPr="002B370E">
      <w:rPr>
        <w:rStyle w:val="PageNumber"/>
      </w:rPr>
      <w:fldChar w:fldCharType="end"/>
    </w:r>
  </w:p>
  <w:p w14:paraId="7EA68F1C" w14:textId="385E4F64" w:rsidR="00FF4D14" w:rsidRPr="002B370E" w:rsidRDefault="00844B94" w:rsidP="003436FE">
    <w:pPr>
      <w:pStyle w:val="Footer"/>
      <w:tabs>
        <w:tab w:val="clear" w:pos="4320"/>
        <w:tab w:val="clear" w:pos="8640"/>
        <w:tab w:val="right" w:pos="8080"/>
      </w:tabs>
    </w:pPr>
    <w:r>
      <w:fldChar w:fldCharType="begin"/>
    </w:r>
    <w:r>
      <w:instrText xml:space="preserve"> FILENAME </w:instrText>
    </w:r>
    <w:r>
      <w:fldChar w:fldCharType="separate"/>
    </w:r>
    <w:r w:rsidR="00E0084A">
      <w:rPr>
        <w:noProof/>
      </w:rPr>
      <w:t>b8b_itt</w:t>
    </w:r>
    <w:r w:rsidR="006F2B10">
      <w:rPr>
        <w:noProof/>
      </w:rPr>
      <w:t>_eForms</w:t>
    </w:r>
    <w:r w:rsidR="00E0084A">
      <w:rPr>
        <w:noProof/>
      </w:rPr>
      <w:t>_es.docx</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1E4F8" w14:textId="77777777" w:rsidR="00FF4D14" w:rsidRPr="002B370E" w:rsidRDefault="00FF4D14" w:rsidP="00695F78">
    <w:pPr>
      <w:pStyle w:val="Footer"/>
      <w:tabs>
        <w:tab w:val="clear" w:pos="4320"/>
        <w:tab w:val="clear" w:pos="8640"/>
        <w:tab w:val="right" w:pos="8080"/>
      </w:tabs>
      <w:spacing w:before="120"/>
      <w:rPr>
        <w:rStyle w:val="PageNumber"/>
        <w:sz w:val="18"/>
        <w:szCs w:val="18"/>
      </w:rPr>
    </w:pPr>
    <w:r>
      <w:rPr>
        <w:b/>
        <w:snapToGrid w:val="0"/>
        <w:sz w:val="18"/>
        <w:szCs w:val="18"/>
      </w:rPr>
      <w:t>Mayo de 2018</w:t>
    </w:r>
    <w:r>
      <w:rPr>
        <w:sz w:val="18"/>
        <w:szCs w:val="18"/>
      </w:rPr>
      <w:tab/>
      <w:t xml:space="preserve">Página </w:t>
    </w:r>
    <w:r w:rsidRPr="002B370E">
      <w:rPr>
        <w:rStyle w:val="PageNumber"/>
        <w:sz w:val="18"/>
        <w:szCs w:val="18"/>
      </w:rPr>
      <w:fldChar w:fldCharType="begin"/>
    </w:r>
    <w:r w:rsidRPr="002B370E">
      <w:rPr>
        <w:rStyle w:val="PageNumber"/>
        <w:sz w:val="18"/>
        <w:szCs w:val="18"/>
      </w:rPr>
      <w:instrText xml:space="preserve"> PAGE </w:instrText>
    </w:r>
    <w:r w:rsidRPr="002B370E">
      <w:rPr>
        <w:rStyle w:val="PageNumber"/>
        <w:sz w:val="18"/>
        <w:szCs w:val="18"/>
      </w:rPr>
      <w:fldChar w:fldCharType="separate"/>
    </w:r>
    <w:r>
      <w:rPr>
        <w:rStyle w:val="PageNumber"/>
        <w:sz w:val="18"/>
        <w:szCs w:val="18"/>
      </w:rPr>
      <w:t>1</w:t>
    </w:r>
    <w:r w:rsidRPr="002B370E">
      <w:rPr>
        <w:rStyle w:val="PageNumber"/>
        <w:sz w:val="18"/>
        <w:szCs w:val="18"/>
      </w:rPr>
      <w:fldChar w:fldCharType="end"/>
    </w:r>
    <w:r>
      <w:rPr>
        <w:rStyle w:val="PageNumber"/>
        <w:sz w:val="18"/>
        <w:szCs w:val="18"/>
      </w:rPr>
      <w:t xml:space="preserve"> de </w:t>
    </w:r>
    <w:r w:rsidRPr="002B370E">
      <w:rPr>
        <w:rStyle w:val="PageNumber"/>
        <w:sz w:val="18"/>
        <w:szCs w:val="18"/>
      </w:rPr>
      <w:fldChar w:fldCharType="begin"/>
    </w:r>
    <w:r w:rsidRPr="002B370E">
      <w:rPr>
        <w:rStyle w:val="PageNumber"/>
        <w:sz w:val="18"/>
        <w:szCs w:val="18"/>
      </w:rPr>
      <w:instrText xml:space="preserve"> NUMPAGES </w:instrText>
    </w:r>
    <w:r w:rsidRPr="002B370E">
      <w:rPr>
        <w:rStyle w:val="PageNumber"/>
        <w:sz w:val="18"/>
        <w:szCs w:val="18"/>
      </w:rPr>
      <w:fldChar w:fldCharType="separate"/>
    </w:r>
    <w:r>
      <w:rPr>
        <w:rStyle w:val="PageNumber"/>
        <w:sz w:val="18"/>
        <w:szCs w:val="18"/>
      </w:rPr>
      <w:t>18</w:t>
    </w:r>
    <w:r w:rsidRPr="002B370E">
      <w:rPr>
        <w:rStyle w:val="PageNumber"/>
        <w:sz w:val="18"/>
        <w:szCs w:val="18"/>
      </w:rPr>
      <w:fldChar w:fldCharType="end"/>
    </w:r>
    <w:bookmarkStart w:id="6" w:name="_Hlt26943623"/>
    <w:bookmarkEnd w:id="6"/>
  </w:p>
  <w:p w14:paraId="3279BCCF" w14:textId="77777777" w:rsidR="00FF4D14" w:rsidRPr="002B370E" w:rsidRDefault="00FF4D14" w:rsidP="003436FE">
    <w:pPr>
      <w:pStyle w:val="Footer"/>
      <w:tabs>
        <w:tab w:val="clear" w:pos="4320"/>
        <w:tab w:val="clear" w:pos="8640"/>
        <w:tab w:val="right" w:pos="8080"/>
      </w:tabs>
      <w:rPr>
        <w:sz w:val="18"/>
        <w:szCs w:val="18"/>
      </w:rPr>
    </w:pPr>
    <w:r w:rsidRPr="00495144">
      <w:rPr>
        <w:sz w:val="18"/>
        <w:szCs w:val="18"/>
      </w:rPr>
      <w:fldChar w:fldCharType="begin"/>
    </w:r>
    <w:r w:rsidRPr="00495144">
      <w:rPr>
        <w:sz w:val="18"/>
        <w:szCs w:val="18"/>
      </w:rPr>
      <w:instrText xml:space="preserve"> FILENAME </w:instrText>
    </w:r>
    <w:r w:rsidRPr="00495144">
      <w:rPr>
        <w:sz w:val="18"/>
        <w:szCs w:val="18"/>
      </w:rPr>
      <w:fldChar w:fldCharType="separate"/>
    </w:r>
    <w:r>
      <w:rPr>
        <w:sz w:val="18"/>
        <w:szCs w:val="18"/>
      </w:rPr>
      <w:t>b8b_itt_en.doc</w:t>
    </w:r>
    <w:r w:rsidRPr="00495144">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A80EF1" w14:textId="77777777" w:rsidR="00FF4D14" w:rsidRDefault="00FF4D14">
      <w:r>
        <w:separator/>
      </w:r>
    </w:p>
  </w:footnote>
  <w:footnote w:type="continuationSeparator" w:id="0">
    <w:p w14:paraId="087DBBB6" w14:textId="77777777" w:rsidR="00FF4D14" w:rsidRDefault="00FF4D14">
      <w:r>
        <w:continuationSeparator/>
      </w:r>
    </w:p>
  </w:footnote>
  <w:footnote w:id="1">
    <w:p w14:paraId="0754C1DF" w14:textId="77777777" w:rsidR="00FF4D14" w:rsidRPr="00B30658" w:rsidRDefault="00FF4D14" w:rsidP="002B2217">
      <w:pPr>
        <w:pStyle w:val="FootnoteText"/>
      </w:pPr>
      <w:r>
        <w:rPr>
          <w:rStyle w:val="FootnoteReference"/>
          <w:sz w:val="16"/>
          <w:szCs w:val="16"/>
        </w:rPr>
        <w:footnoteRef/>
      </w:r>
      <w:r>
        <w:t xml:space="preserve"> La moneda de la licitación es la moneda del contrato y la moneda del pago.</w:t>
      </w:r>
    </w:p>
  </w:footnote>
  <w:footnote w:id="2">
    <w:p w14:paraId="6F6F931A" w14:textId="66F1BFC5" w:rsidR="00FF4D14" w:rsidRPr="0015671D" w:rsidRDefault="00FF4D14">
      <w:pPr>
        <w:pStyle w:val="FootnoteText"/>
      </w:pPr>
      <w:r>
        <w:rPr>
          <w:rStyle w:val="FootnoteReference"/>
        </w:rPr>
        <w:footnoteRef/>
      </w:r>
      <w:r>
        <w:t xml:space="preserve"> Las actas deberán cumplir los requisitos relativos a la protección de datos que figuran en la sección 17 del presente anexo.</w:t>
      </w:r>
    </w:p>
  </w:footnote>
  <w:footnote w:id="3">
    <w:p w14:paraId="7990E158" w14:textId="77777777" w:rsidR="00FF4D14" w:rsidRDefault="00FF4D14" w:rsidP="00442485">
      <w:r>
        <w:rPr>
          <w:rStyle w:val="FootnoteReference"/>
        </w:rPr>
        <w:footnoteRef/>
      </w:r>
      <w:r>
        <w:t xml:space="preserve"> Para obtener instrucciones más detalladas sobre la presentación de ofertas, consúltese la guía de referencia rápida para el uso de eSubmission, disponible en: </w:t>
      </w:r>
    </w:p>
    <w:p w14:paraId="266B4D19" w14:textId="6356DC7B" w:rsidR="00FF4D14" w:rsidRDefault="00844B94" w:rsidP="00442485">
      <w:pPr>
        <w:rPr>
          <w:rStyle w:val="Hyperlink"/>
        </w:rPr>
      </w:pPr>
      <w:hyperlink r:id="rId1" w:history="1">
        <w:r w:rsidR="00FF4D14">
          <w:rPr>
            <w:rStyle w:val="Hyperlink"/>
          </w:rPr>
          <w:t>https://ec.europa.eu/info/funding-tenders/opportunities/docs/esubmission/quickguidepp_es.pdf</w:t>
        </w:r>
      </w:hyperlink>
      <w:r w:rsidR="00FF4D14">
        <w:t>.</w:t>
      </w:r>
    </w:p>
    <w:p w14:paraId="7D798D46" w14:textId="77777777" w:rsidR="00FF4D14" w:rsidRPr="00BE3823" w:rsidRDefault="00FF4D14" w:rsidP="00442485">
      <w:pPr>
        <w:jc w:val="both"/>
      </w:pPr>
      <w:r>
        <w:t xml:space="preserve">Las especificaciones sobre los navegadores, los tipos de archivo y el tamaño de los documentos adjuntos compatibles, así como otros requisitos de sistema, figuran en el enlace siguiente: </w:t>
      </w:r>
      <w:hyperlink r:id="rId2" w:history="1">
        <w:r>
          <w:rPr>
            <w:rStyle w:val="Hyperlink"/>
          </w:rPr>
          <w:t>https://webgate.ec.europa.eu/fpfis/wikis/x/Oo5kI</w:t>
        </w:r>
      </w:hyperlink>
      <w:r>
        <w:t>. En caso de experimentar problemas técnicos, le rogamos que contacte con el servicio de ayuda de eSubmission (los datos de contacto se indican en la guía de referencia rápida para el uso de eSubmission) con la mayor brevedad posible.</w:t>
      </w:r>
    </w:p>
  </w:footnote>
  <w:footnote w:id="4">
    <w:p w14:paraId="6109B5F3" w14:textId="77777777" w:rsidR="00FF4D14" w:rsidRPr="00BE3823" w:rsidRDefault="00FF4D14">
      <w:pPr>
        <w:pStyle w:val="FootnoteText"/>
      </w:pPr>
      <w:r>
        <w:rPr>
          <w:rStyle w:val="FootnoteReference"/>
        </w:rPr>
        <w:footnoteRef/>
      </w:r>
      <w:r>
        <w:t xml:space="preserve"> Si no obtiene el acuse de recibo en un plazo razonable tras presentar la oferta, le rogamos que contacte con el servicio de ayuda de eSubmission (los datos de contacto se indican en la guía de referencia rápida para el uso de eSubmission) con la mayor brevedad posible.</w:t>
      </w:r>
    </w:p>
  </w:footnote>
  <w:footnote w:id="5">
    <w:p w14:paraId="32D63B7E" w14:textId="77777777" w:rsidR="00FF4D14" w:rsidRPr="001352B5" w:rsidRDefault="00FF4D14">
      <w:pPr>
        <w:pStyle w:val="FootnoteText"/>
      </w:pPr>
      <w:r>
        <w:rPr>
          <w:rStyle w:val="FootnoteReference"/>
        </w:rPr>
        <w:footnoteRef/>
      </w:r>
      <w:r>
        <w:t xml:space="preserve"> Se recomienda utilizar el correo certificado en caso de que el matasellos no sea legible.</w:t>
      </w:r>
    </w:p>
  </w:footnote>
  <w:footnote w:id="6">
    <w:p w14:paraId="5FB5284A" w14:textId="77777777" w:rsidR="00FF4D14" w:rsidRDefault="00FF4D14" w:rsidP="003D6F7B">
      <w:pPr>
        <w:pStyle w:val="FootnoteText"/>
        <w:spacing w:after="0"/>
      </w:pPr>
      <w:r>
        <w:rPr>
          <w:rStyle w:val="FootnoteReference"/>
        </w:rPr>
        <w:footnoteRef/>
      </w:r>
      <w:r>
        <w:t xml:space="preserve"> Las ofertas presentadas pueden retirarse directamente desde la sección «Contratación pública / Mis ofertas» del portal F&amp;T. Para obtener instrucciones más detalladas sobre la retirada de ofertas, consúltese la guía de referencia rápida para el uso de eSubmission mencionada anteriormente.</w:t>
      </w:r>
    </w:p>
  </w:footnote>
  <w:footnote w:id="7">
    <w:p w14:paraId="43D77EB7" w14:textId="77777777" w:rsidR="00FF4D14" w:rsidRDefault="00FF4D14" w:rsidP="003D6F7B">
      <w:pPr>
        <w:pStyle w:val="FootnoteText"/>
        <w:spacing w:after="0"/>
      </w:pPr>
      <w:r>
        <w:rPr>
          <w:rStyle w:val="FootnoteReference"/>
        </w:rPr>
        <w:footnoteRef/>
      </w:r>
      <w:r>
        <w:t xml:space="preserve"> Para presentar una nueva versión, el licitador deberá crear una nueva oferta en eSubmission e incluir toda la información y los documentos exigidos en los pliegos de la contratación, pese a que algunos de ellos ya se hubieran incluido en la oferta sustituida.</w:t>
      </w:r>
    </w:p>
  </w:footnote>
  <w:footnote w:id="8">
    <w:p w14:paraId="3D251889" w14:textId="77777777" w:rsidR="00FF4D14" w:rsidRPr="003E033C" w:rsidRDefault="00FF4D14" w:rsidP="00395A65">
      <w:pPr>
        <w:pStyle w:val="FootnoteText"/>
      </w:pPr>
      <w:r>
        <w:rPr>
          <w:rStyle w:val="FootnoteReference"/>
          <w:sz w:val="16"/>
          <w:szCs w:val="16"/>
        </w:rPr>
        <w:footnoteRef/>
      </w:r>
      <w:r>
        <w:t xml:space="preserve"> </w:t>
      </w:r>
      <w:r>
        <w:rPr>
          <w:highlight w:val="lightGray"/>
        </w:rPr>
        <w:t>Con arreglo al Reglamento (UE) 2018/1725 del Parlamento Europeo y del Consejo, de 23 de octubre de 2018, relativo a la protección de las personas físicas en lo que respecta al tratamiento de datos personales por las instituciones, órganos y organismos de la Unión, y a la libre circulación de esos datos, y por el que se derogan el Reglamento (CE) n.º 45/2001 y la Decisión n.º 1247/2002/CE [el «Reglamento (UE) 2018/1725»] (DO L 205 de 21.11.2018, p. 39).</w:t>
      </w:r>
    </w:p>
  </w:footnote>
  <w:footnote w:id="9">
    <w:p w14:paraId="532B0261" w14:textId="77777777" w:rsidR="00FF4D14" w:rsidRPr="003E033C" w:rsidRDefault="00FF4D14" w:rsidP="00395A65">
      <w:pPr>
        <w:pStyle w:val="FootnoteText"/>
      </w:pPr>
      <w:r>
        <w:rPr>
          <w:rStyle w:val="FootnoteReference"/>
          <w:sz w:val="16"/>
          <w:szCs w:val="16"/>
        </w:rPr>
        <w:footnoteRef/>
      </w:r>
      <w:r>
        <w:t xml:space="preserve"> Este enlace le llevará a la «Declaración de privacidad», publicada como anexo A13 de los anexos generales de la Guía Práctica.</w:t>
      </w:r>
    </w:p>
  </w:footnote>
  <w:footnote w:id="10">
    <w:p w14:paraId="34072F70" w14:textId="77777777" w:rsidR="00FF4D14" w:rsidRPr="003E033C" w:rsidRDefault="00FF4D14" w:rsidP="00395A65">
      <w:pPr>
        <w:pStyle w:val="FootnoteText"/>
      </w:pPr>
      <w:r>
        <w:rPr>
          <w:rStyle w:val="FootnoteReference"/>
          <w:sz w:val="16"/>
          <w:szCs w:val="16"/>
        </w:rPr>
        <w:footnoteRef/>
      </w:r>
      <w:r>
        <w:t xml:space="preserve"> </w:t>
      </w:r>
      <w:r>
        <w:rPr>
          <w:highlight w:val="yellow"/>
        </w:rPr>
        <w:t>El responsable del tratamiento de datos podrá ser la unidad o dirección encargada del contrato o la entidad declarada al responsable de la protección de datos como responsable del tratamiento de datos de todos los contratos públicos de una DG determinada.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EBFFC7" w14:textId="77777777" w:rsidR="000D7EA9" w:rsidRDefault="000D7EA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DC5AB2" w14:textId="77777777" w:rsidR="000D7EA9" w:rsidRDefault="000D7EA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1D347" w14:textId="77777777" w:rsidR="00FF4D14" w:rsidRPr="00AD4777" w:rsidRDefault="00FF4D14">
    <w:pPr>
      <w:pStyle w:val="Header"/>
      <w:jc w:val="center"/>
      <w:rPr>
        <w:b/>
        <w:sz w:val="32"/>
        <w:szCs w:val="32"/>
      </w:rPr>
    </w:pPr>
    <w:r>
      <w:rPr>
        <w:b/>
        <w:sz w:val="32"/>
        <w:szCs w:val="32"/>
      </w:rPr>
      <w:t>INSTRUCCIONES PARA LOS LICITADORES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7A37D8"/>
    <w:multiLevelType w:val="hybridMultilevel"/>
    <w:tmpl w:val="B616EDBA"/>
    <w:lvl w:ilvl="0" w:tplc="9614E15A">
      <w:start w:val="1"/>
      <w:numFmt w:val="decimal"/>
      <w:pStyle w:val="Numbered"/>
      <w:lvlText w:val="%1."/>
      <w:lvlJc w:val="left"/>
      <w:pPr>
        <w:ind w:left="720" w:hanging="360"/>
      </w:pPr>
      <w:rPr>
        <w:rFonts w:hint="default"/>
        <w:b w:val="0"/>
        <w:i w:val="0"/>
        <w:caps w:val="0"/>
        <w:strike w:val="0"/>
        <w:dstrike w:val="0"/>
        <w:vanish w:val="0"/>
        <w:sz w:val="24"/>
        <w:u w:val="none"/>
        <w:vertAlign w:val="baseline"/>
      </w:rPr>
    </w:lvl>
    <w:lvl w:ilvl="1" w:tplc="A1641C74">
      <w:start w:val="2"/>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114FF2"/>
    <w:multiLevelType w:val="singleLevel"/>
    <w:tmpl w:val="CAAE09E2"/>
    <w:lvl w:ilvl="0">
      <w:start w:val="7"/>
      <w:numFmt w:val="decimal"/>
      <w:lvlText w:val="(%1)"/>
      <w:lvlJc w:val="left"/>
      <w:pPr>
        <w:tabs>
          <w:tab w:val="num" w:pos="570"/>
        </w:tabs>
        <w:ind w:left="570" w:hanging="510"/>
      </w:pPr>
      <w:rPr>
        <w:rFonts w:hint="default"/>
      </w:rPr>
    </w:lvl>
  </w:abstractNum>
  <w:abstractNum w:abstractNumId="3" w15:restartNumberingAfterBreak="0">
    <w:nsid w:val="0AD424E0"/>
    <w:multiLevelType w:val="singleLevel"/>
    <w:tmpl w:val="CAAE09E2"/>
    <w:lvl w:ilvl="0">
      <w:start w:val="7"/>
      <w:numFmt w:val="decimal"/>
      <w:lvlText w:val="(%1)"/>
      <w:lvlJc w:val="left"/>
      <w:pPr>
        <w:tabs>
          <w:tab w:val="num" w:pos="570"/>
        </w:tabs>
        <w:ind w:left="570" w:hanging="510"/>
      </w:pPr>
      <w:rPr>
        <w:rFonts w:hint="default"/>
      </w:rPr>
    </w:lvl>
  </w:abstractNum>
  <w:abstractNum w:abstractNumId="4" w15:restartNumberingAfterBreak="0">
    <w:nsid w:val="0B561F9D"/>
    <w:multiLevelType w:val="hybridMultilevel"/>
    <w:tmpl w:val="ADEEF98E"/>
    <w:lvl w:ilvl="0" w:tplc="473C203E">
      <w:start w:val="1"/>
      <w:numFmt w:val="decimal"/>
      <w:pStyle w:val="PRAGHeading2"/>
      <w:lvlText w:val="%1."/>
      <w:lvlJc w:val="left"/>
      <w:pPr>
        <w:tabs>
          <w:tab w:val="num" w:pos="567"/>
        </w:tabs>
        <w:ind w:left="567" w:firstLine="0"/>
      </w:pPr>
      <w:rPr>
        <w:rFonts w:ascii="Times New Roman" w:hAnsi="Times New Roman" w:hint="default"/>
        <w:b/>
        <w:i w:val="0"/>
        <w:sz w:val="22"/>
        <w:szCs w:val="22"/>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0">
    <w:nsid w:val="0D8C5ACD"/>
    <w:multiLevelType w:val="singleLevel"/>
    <w:tmpl w:val="EF5E9ED0"/>
    <w:lvl w:ilvl="0">
      <w:start w:val="4"/>
      <w:numFmt w:val="decimal"/>
      <w:lvlText w:val="%1."/>
      <w:lvlJc w:val="left"/>
      <w:pPr>
        <w:tabs>
          <w:tab w:val="num" w:pos="360"/>
        </w:tabs>
        <w:ind w:left="360" w:hanging="360"/>
      </w:pPr>
    </w:lvl>
  </w:abstractNum>
  <w:abstractNum w:abstractNumId="6" w15:restartNumberingAfterBreak="0">
    <w:nsid w:val="0FFE365E"/>
    <w:multiLevelType w:val="singleLevel"/>
    <w:tmpl w:val="FF4809E6"/>
    <w:lvl w:ilvl="0">
      <w:start w:val="1"/>
      <w:numFmt w:val="lowerLetter"/>
      <w:lvlText w:val="%1)"/>
      <w:legacy w:legacy="1" w:legacySpace="0" w:legacyIndent="360"/>
      <w:lvlJc w:val="left"/>
      <w:pPr>
        <w:ind w:left="360" w:hanging="360"/>
      </w:pPr>
    </w:lvl>
  </w:abstractNum>
  <w:abstractNum w:abstractNumId="7" w15:restartNumberingAfterBreak="0">
    <w:nsid w:val="10222114"/>
    <w:multiLevelType w:val="hybridMultilevel"/>
    <w:tmpl w:val="26760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F34F65"/>
    <w:multiLevelType w:val="singleLevel"/>
    <w:tmpl w:val="227C303C"/>
    <w:lvl w:ilvl="0">
      <w:start w:val="1"/>
      <w:numFmt w:val="upperLetter"/>
      <w:lvlText w:val="%1."/>
      <w:lvlJc w:val="left"/>
      <w:pPr>
        <w:tabs>
          <w:tab w:val="num" w:pos="570"/>
        </w:tabs>
        <w:ind w:left="570" w:hanging="570"/>
      </w:pPr>
      <w:rPr>
        <w:rFonts w:hint="default"/>
      </w:rPr>
    </w:lvl>
  </w:abstractNum>
  <w:abstractNum w:abstractNumId="9" w15:restartNumberingAfterBreak="0">
    <w:nsid w:val="15B03B67"/>
    <w:multiLevelType w:val="singleLevel"/>
    <w:tmpl w:val="04090017"/>
    <w:lvl w:ilvl="0">
      <w:start w:val="1"/>
      <w:numFmt w:val="lowerLetter"/>
      <w:lvlText w:val="%1)"/>
      <w:lvlJc w:val="left"/>
      <w:pPr>
        <w:tabs>
          <w:tab w:val="num" w:pos="360"/>
        </w:tabs>
        <w:ind w:left="360" w:hanging="360"/>
      </w:pPr>
    </w:lvl>
  </w:abstractNum>
  <w:abstractNum w:abstractNumId="10" w15:restartNumberingAfterBreak="0">
    <w:nsid w:val="1621303B"/>
    <w:multiLevelType w:val="hybridMultilevel"/>
    <w:tmpl w:val="B6D6C0A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77944E6"/>
    <w:multiLevelType w:val="singleLevel"/>
    <w:tmpl w:val="0809000F"/>
    <w:lvl w:ilvl="0">
      <w:start w:val="1"/>
      <w:numFmt w:val="decimal"/>
      <w:lvlText w:val="%1."/>
      <w:lvlJc w:val="left"/>
      <w:pPr>
        <w:tabs>
          <w:tab w:val="num" w:pos="360"/>
        </w:tabs>
        <w:ind w:left="360" w:hanging="360"/>
      </w:pPr>
    </w:lvl>
  </w:abstractNum>
  <w:abstractNum w:abstractNumId="12" w15:restartNumberingAfterBreak="0">
    <w:nsid w:val="1A5A275A"/>
    <w:multiLevelType w:val="singleLevel"/>
    <w:tmpl w:val="E974970C"/>
    <w:lvl w:ilvl="0">
      <w:start w:val="5"/>
      <w:numFmt w:val="lowerRoman"/>
      <w:lvlText w:val="(%1)"/>
      <w:lvlJc w:val="left"/>
      <w:pPr>
        <w:tabs>
          <w:tab w:val="num" w:pos="1429"/>
        </w:tabs>
        <w:ind w:left="1429" w:hanging="720"/>
      </w:pPr>
      <w:rPr>
        <w:rFonts w:hint="default"/>
      </w:rPr>
    </w:lvl>
  </w:abstractNum>
  <w:abstractNum w:abstractNumId="13" w15:restartNumberingAfterBreak="0">
    <w:nsid w:val="1D28496A"/>
    <w:multiLevelType w:val="singleLevel"/>
    <w:tmpl w:val="0809000F"/>
    <w:lvl w:ilvl="0">
      <w:start w:val="1"/>
      <w:numFmt w:val="decimal"/>
      <w:lvlText w:val="%1."/>
      <w:lvlJc w:val="left"/>
      <w:pPr>
        <w:tabs>
          <w:tab w:val="num" w:pos="360"/>
        </w:tabs>
        <w:ind w:left="360" w:hanging="360"/>
      </w:pPr>
    </w:lvl>
  </w:abstractNum>
  <w:abstractNum w:abstractNumId="14" w15:restartNumberingAfterBreak="0">
    <w:nsid w:val="21E46C74"/>
    <w:multiLevelType w:val="singleLevel"/>
    <w:tmpl w:val="DA7C7A06"/>
    <w:lvl w:ilvl="0">
      <w:start w:val="1"/>
      <w:numFmt w:val="lowerLetter"/>
      <w:lvlText w:val="%1."/>
      <w:lvlJc w:val="left"/>
      <w:pPr>
        <w:tabs>
          <w:tab w:val="num" w:pos="360"/>
        </w:tabs>
        <w:ind w:left="360" w:hanging="360"/>
      </w:pPr>
      <w:rPr>
        <w:rFonts w:hint="default"/>
      </w:rPr>
    </w:lvl>
  </w:abstractNum>
  <w:abstractNum w:abstractNumId="15" w15:restartNumberingAfterBreak="0">
    <w:nsid w:val="25A14ADC"/>
    <w:multiLevelType w:val="singleLevel"/>
    <w:tmpl w:val="4AD08768"/>
    <w:lvl w:ilvl="0">
      <w:start w:val="1"/>
      <w:numFmt w:val="lowerLetter"/>
      <w:lvlText w:val="%1)"/>
      <w:lvlJc w:val="left"/>
      <w:pPr>
        <w:tabs>
          <w:tab w:val="num" w:pos="1211"/>
        </w:tabs>
        <w:ind w:left="1211" w:hanging="360"/>
      </w:pPr>
      <w:rPr>
        <w:rFonts w:hint="default"/>
      </w:rPr>
    </w:lvl>
  </w:abstractNum>
  <w:abstractNum w:abstractNumId="16" w15:restartNumberingAfterBreak="0">
    <w:nsid w:val="27AE747B"/>
    <w:multiLevelType w:val="multilevel"/>
    <w:tmpl w:val="366C2B2C"/>
    <w:lvl w:ilvl="0">
      <w:start w:val="4"/>
      <w:numFmt w:val="none"/>
      <w:lvlText w:val="4."/>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2A4A0B91"/>
    <w:multiLevelType w:val="singleLevel"/>
    <w:tmpl w:val="5B30D490"/>
    <w:lvl w:ilvl="0">
      <w:start w:val="1"/>
      <w:numFmt w:val="lowerLetter"/>
      <w:lvlText w:val="%1)"/>
      <w:lvlJc w:val="left"/>
      <w:pPr>
        <w:tabs>
          <w:tab w:val="num" w:pos="861"/>
        </w:tabs>
        <w:ind w:left="861" w:hanging="435"/>
      </w:pPr>
      <w:rPr>
        <w:rFonts w:hint="default"/>
      </w:rPr>
    </w:lvl>
  </w:abstractNum>
  <w:abstractNum w:abstractNumId="18" w15:restartNumberingAfterBreak="0">
    <w:nsid w:val="2B0F0C5B"/>
    <w:multiLevelType w:val="hybridMultilevel"/>
    <w:tmpl w:val="8D6AC716"/>
    <w:lvl w:ilvl="0" w:tplc="35E4DD0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2B504CAE"/>
    <w:multiLevelType w:val="singleLevel"/>
    <w:tmpl w:val="CAAE09E2"/>
    <w:lvl w:ilvl="0">
      <w:start w:val="7"/>
      <w:numFmt w:val="decimal"/>
      <w:lvlText w:val="(%1)"/>
      <w:lvlJc w:val="left"/>
      <w:pPr>
        <w:tabs>
          <w:tab w:val="num" w:pos="570"/>
        </w:tabs>
        <w:ind w:left="570" w:hanging="510"/>
      </w:pPr>
      <w:rPr>
        <w:rFonts w:hint="default"/>
      </w:rPr>
    </w:lvl>
  </w:abstractNum>
  <w:abstractNum w:abstractNumId="20" w15:restartNumberingAfterBreak="0">
    <w:nsid w:val="2C1143DB"/>
    <w:multiLevelType w:val="singleLevel"/>
    <w:tmpl w:val="A88E0254"/>
    <w:lvl w:ilvl="0">
      <w:start w:val="1"/>
      <w:numFmt w:val="lowerLetter"/>
      <w:lvlText w:val="%1)"/>
      <w:lvlJc w:val="left"/>
      <w:pPr>
        <w:tabs>
          <w:tab w:val="num" w:pos="360"/>
        </w:tabs>
        <w:ind w:left="360" w:hanging="360"/>
      </w:pPr>
    </w:lvl>
  </w:abstractNum>
  <w:abstractNum w:abstractNumId="21" w15:restartNumberingAfterBreak="0">
    <w:nsid w:val="308F1E72"/>
    <w:multiLevelType w:val="singleLevel"/>
    <w:tmpl w:val="04090017"/>
    <w:lvl w:ilvl="0">
      <w:start w:val="1"/>
      <w:numFmt w:val="lowerLetter"/>
      <w:lvlText w:val="%1)"/>
      <w:lvlJc w:val="left"/>
      <w:pPr>
        <w:tabs>
          <w:tab w:val="num" w:pos="360"/>
        </w:tabs>
        <w:ind w:left="360" w:hanging="360"/>
      </w:pPr>
    </w:lvl>
  </w:abstractNum>
  <w:abstractNum w:abstractNumId="22" w15:restartNumberingAfterBreak="0">
    <w:nsid w:val="316B164C"/>
    <w:multiLevelType w:val="singleLevel"/>
    <w:tmpl w:val="20444620"/>
    <w:lvl w:ilvl="0">
      <w:start w:val="1"/>
      <w:numFmt w:val="lowerLetter"/>
      <w:lvlText w:val="(%1)"/>
      <w:lvlJc w:val="left"/>
      <w:pPr>
        <w:tabs>
          <w:tab w:val="num" w:pos="2091"/>
        </w:tabs>
        <w:ind w:left="2091" w:hanging="390"/>
      </w:pPr>
      <w:rPr>
        <w:rFonts w:hint="default"/>
      </w:rPr>
    </w:lvl>
  </w:abstractNum>
  <w:abstractNum w:abstractNumId="23" w15:restartNumberingAfterBreak="0">
    <w:nsid w:val="327E3FDA"/>
    <w:multiLevelType w:val="hybridMultilevel"/>
    <w:tmpl w:val="9A4282B6"/>
    <w:lvl w:ilvl="0" w:tplc="08090017">
      <w:start w:val="1"/>
      <w:numFmt w:val="lowerLetter"/>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 w15:restartNumberingAfterBreak="0">
    <w:nsid w:val="34670812"/>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25" w15:restartNumberingAfterBreak="0">
    <w:nsid w:val="355D6B1E"/>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26" w15:restartNumberingAfterBreak="0">
    <w:nsid w:val="396A6A02"/>
    <w:multiLevelType w:val="singleLevel"/>
    <w:tmpl w:val="34040536"/>
    <w:lvl w:ilvl="0">
      <w:start w:val="1"/>
      <w:numFmt w:val="lowerLetter"/>
      <w:lvlText w:val="%1)"/>
      <w:lvlJc w:val="left"/>
      <w:pPr>
        <w:tabs>
          <w:tab w:val="num" w:pos="570"/>
        </w:tabs>
        <w:ind w:left="570" w:hanging="570"/>
      </w:pPr>
      <w:rPr>
        <w:rFonts w:hint="default"/>
      </w:rPr>
    </w:lvl>
  </w:abstractNum>
  <w:abstractNum w:abstractNumId="27" w15:restartNumberingAfterBreak="0">
    <w:nsid w:val="41B90958"/>
    <w:multiLevelType w:val="singleLevel"/>
    <w:tmpl w:val="45DA10FE"/>
    <w:lvl w:ilvl="0">
      <w:start w:val="8"/>
      <w:numFmt w:val="bullet"/>
      <w:lvlText w:val="-"/>
      <w:lvlJc w:val="left"/>
      <w:pPr>
        <w:tabs>
          <w:tab w:val="num" w:pos="930"/>
        </w:tabs>
        <w:ind w:left="930" w:hanging="360"/>
      </w:pPr>
      <w:rPr>
        <w:rFonts w:hint="default"/>
      </w:rPr>
    </w:lvl>
  </w:abstractNum>
  <w:abstractNum w:abstractNumId="28" w15:restartNumberingAfterBreak="0">
    <w:nsid w:val="42C65C4E"/>
    <w:multiLevelType w:val="multilevel"/>
    <w:tmpl w:val="C98816A0"/>
    <w:lvl w:ilvl="0">
      <w:start w:val="8"/>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42D64605"/>
    <w:multiLevelType w:val="singleLevel"/>
    <w:tmpl w:val="CAAE09E2"/>
    <w:lvl w:ilvl="0">
      <w:start w:val="7"/>
      <w:numFmt w:val="decimal"/>
      <w:lvlText w:val="(%1)"/>
      <w:lvlJc w:val="left"/>
      <w:pPr>
        <w:tabs>
          <w:tab w:val="num" w:pos="570"/>
        </w:tabs>
        <w:ind w:left="570" w:hanging="510"/>
      </w:pPr>
      <w:rPr>
        <w:rFonts w:hint="default"/>
      </w:rPr>
    </w:lvl>
  </w:abstractNum>
  <w:abstractNum w:abstractNumId="30" w15:restartNumberingAfterBreak="0">
    <w:nsid w:val="476F2497"/>
    <w:multiLevelType w:val="singleLevel"/>
    <w:tmpl w:val="C0E47794"/>
    <w:lvl w:ilvl="0">
      <w:start w:val="9"/>
      <w:numFmt w:val="lowerLetter"/>
      <w:lvlText w:val="%1)"/>
      <w:lvlJc w:val="left"/>
      <w:pPr>
        <w:tabs>
          <w:tab w:val="num" w:pos="360"/>
        </w:tabs>
        <w:ind w:left="360" w:hanging="360"/>
      </w:pPr>
    </w:lvl>
  </w:abstractNum>
  <w:abstractNum w:abstractNumId="31" w15:restartNumberingAfterBreak="0">
    <w:nsid w:val="4FAE1552"/>
    <w:multiLevelType w:val="singleLevel"/>
    <w:tmpl w:val="6AE2FC88"/>
    <w:lvl w:ilvl="0">
      <w:start w:val="6"/>
      <w:numFmt w:val="lowerLetter"/>
      <w:lvlText w:val="%1)"/>
      <w:lvlJc w:val="left"/>
      <w:pPr>
        <w:tabs>
          <w:tab w:val="num" w:pos="570"/>
        </w:tabs>
        <w:ind w:left="570" w:hanging="570"/>
      </w:pPr>
      <w:rPr>
        <w:rFonts w:hint="default"/>
      </w:rPr>
    </w:lvl>
  </w:abstractNum>
  <w:abstractNum w:abstractNumId="32" w15:restartNumberingAfterBreak="0">
    <w:nsid w:val="51C37440"/>
    <w:multiLevelType w:val="singleLevel"/>
    <w:tmpl w:val="A6C8B384"/>
    <w:lvl w:ilvl="0">
      <w:start w:val="1"/>
      <w:numFmt w:val="decimal"/>
      <w:lvlText w:val="%1)"/>
      <w:lvlJc w:val="left"/>
      <w:pPr>
        <w:ind w:left="1800" w:hanging="360"/>
      </w:pPr>
      <w:rPr>
        <w:rFonts w:hint="default"/>
      </w:rPr>
    </w:lvl>
  </w:abstractNum>
  <w:abstractNum w:abstractNumId="33" w15:restartNumberingAfterBreak="0">
    <w:nsid w:val="599023DB"/>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34" w15:restartNumberingAfterBreak="0">
    <w:nsid w:val="599A24AA"/>
    <w:multiLevelType w:val="singleLevel"/>
    <w:tmpl w:val="9EC0DA56"/>
    <w:lvl w:ilvl="0">
      <w:start w:val="1"/>
      <w:numFmt w:val="decimal"/>
      <w:lvlText w:val="21.%1"/>
      <w:lvlJc w:val="left"/>
      <w:pPr>
        <w:tabs>
          <w:tab w:val="num" w:pos="720"/>
        </w:tabs>
        <w:ind w:left="397" w:hanging="397"/>
      </w:pPr>
      <w:rPr>
        <w:rFonts w:ascii="Arial" w:hAnsi="Arial" w:hint="default"/>
        <w:b w:val="0"/>
        <w:i w:val="0"/>
        <w:sz w:val="22"/>
      </w:rPr>
    </w:lvl>
  </w:abstractNum>
  <w:abstractNum w:abstractNumId="35" w15:restartNumberingAfterBreak="0">
    <w:nsid w:val="5A4833F3"/>
    <w:multiLevelType w:val="singleLevel"/>
    <w:tmpl w:val="74D8EB9E"/>
    <w:lvl w:ilvl="0">
      <w:start w:val="4"/>
      <w:numFmt w:val="lowerLetter"/>
      <w:lvlText w:val="%1)"/>
      <w:lvlJc w:val="left"/>
      <w:pPr>
        <w:tabs>
          <w:tab w:val="num" w:pos="861"/>
        </w:tabs>
        <w:ind w:left="861" w:hanging="435"/>
      </w:pPr>
      <w:rPr>
        <w:rFonts w:hint="default"/>
      </w:rPr>
    </w:lvl>
  </w:abstractNum>
  <w:abstractNum w:abstractNumId="36" w15:restartNumberingAfterBreak="0">
    <w:nsid w:val="5D4278C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7" w15:restartNumberingAfterBreak="0">
    <w:nsid w:val="604D2F08"/>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38" w15:restartNumberingAfterBreak="0">
    <w:nsid w:val="620E07E6"/>
    <w:multiLevelType w:val="singleLevel"/>
    <w:tmpl w:val="5B30D490"/>
    <w:lvl w:ilvl="0">
      <w:start w:val="1"/>
      <w:numFmt w:val="lowerLetter"/>
      <w:lvlText w:val="%1)"/>
      <w:lvlJc w:val="left"/>
      <w:pPr>
        <w:tabs>
          <w:tab w:val="num" w:pos="861"/>
        </w:tabs>
        <w:ind w:left="861" w:hanging="435"/>
      </w:pPr>
      <w:rPr>
        <w:rFonts w:hint="default"/>
      </w:rPr>
    </w:lvl>
  </w:abstractNum>
  <w:abstractNum w:abstractNumId="39" w15:restartNumberingAfterBreak="0">
    <w:nsid w:val="69216D6C"/>
    <w:multiLevelType w:val="singleLevel"/>
    <w:tmpl w:val="FC3C4ED0"/>
    <w:lvl w:ilvl="0">
      <w:start w:val="1"/>
      <w:numFmt w:val="decimal"/>
      <w:lvlText w:val="%1."/>
      <w:lvlJc w:val="left"/>
      <w:pPr>
        <w:tabs>
          <w:tab w:val="num" w:pos="420"/>
        </w:tabs>
        <w:ind w:left="420" w:hanging="420"/>
      </w:pPr>
      <w:rPr>
        <w:rFonts w:ascii="Times New Roman" w:hAnsi="Times New Roman" w:hint="default"/>
        <w:b/>
      </w:rPr>
    </w:lvl>
  </w:abstractNum>
  <w:abstractNum w:abstractNumId="40" w15:restartNumberingAfterBreak="0">
    <w:nsid w:val="6CC52008"/>
    <w:multiLevelType w:val="singleLevel"/>
    <w:tmpl w:val="0809000F"/>
    <w:lvl w:ilvl="0">
      <w:start w:val="1"/>
      <w:numFmt w:val="decimal"/>
      <w:lvlText w:val="%1."/>
      <w:lvlJc w:val="left"/>
      <w:pPr>
        <w:tabs>
          <w:tab w:val="num" w:pos="360"/>
        </w:tabs>
        <w:ind w:left="360" w:hanging="360"/>
      </w:pPr>
    </w:lvl>
  </w:abstractNum>
  <w:abstractNum w:abstractNumId="41" w15:restartNumberingAfterBreak="0">
    <w:nsid w:val="6D5241B6"/>
    <w:multiLevelType w:val="singleLevel"/>
    <w:tmpl w:val="497C868A"/>
    <w:lvl w:ilvl="0">
      <w:start w:val="1"/>
      <w:numFmt w:val="decimal"/>
      <w:lvlText w:val="(%1)"/>
      <w:lvlJc w:val="left"/>
      <w:pPr>
        <w:tabs>
          <w:tab w:val="num" w:pos="1980"/>
        </w:tabs>
        <w:ind w:left="1980" w:hanging="540"/>
      </w:pPr>
      <w:rPr>
        <w:rFonts w:hint="default"/>
      </w:rPr>
    </w:lvl>
  </w:abstractNum>
  <w:abstractNum w:abstractNumId="42" w15:restartNumberingAfterBreak="0">
    <w:nsid w:val="72934CD2"/>
    <w:multiLevelType w:val="singleLevel"/>
    <w:tmpl w:val="0409000F"/>
    <w:lvl w:ilvl="0">
      <w:start w:val="1"/>
      <w:numFmt w:val="decimal"/>
      <w:lvlText w:val="%1."/>
      <w:lvlJc w:val="left"/>
      <w:pPr>
        <w:tabs>
          <w:tab w:val="num" w:pos="360"/>
        </w:tabs>
        <w:ind w:left="360" w:hanging="360"/>
      </w:pPr>
    </w:lvl>
  </w:abstractNum>
  <w:abstractNum w:abstractNumId="43" w15:restartNumberingAfterBreak="0">
    <w:nsid w:val="735A0C07"/>
    <w:multiLevelType w:val="singleLevel"/>
    <w:tmpl w:val="497C868A"/>
    <w:lvl w:ilvl="0">
      <w:start w:val="1"/>
      <w:numFmt w:val="decimal"/>
      <w:lvlText w:val="(%1)"/>
      <w:lvlJc w:val="left"/>
      <w:pPr>
        <w:tabs>
          <w:tab w:val="num" w:pos="1980"/>
        </w:tabs>
        <w:ind w:left="1980" w:hanging="540"/>
      </w:pPr>
      <w:rPr>
        <w:rFonts w:hint="default"/>
      </w:rPr>
    </w:lvl>
  </w:abstractNum>
  <w:abstractNum w:abstractNumId="44" w15:restartNumberingAfterBreak="0">
    <w:nsid w:val="76821977"/>
    <w:multiLevelType w:val="hybridMultilevel"/>
    <w:tmpl w:val="B5728C3C"/>
    <w:lvl w:ilvl="0" w:tplc="CF883F5A">
      <w:numFmt w:val="bullet"/>
      <w:lvlText w:val="-"/>
      <w:lvlJc w:val="left"/>
      <w:pPr>
        <w:tabs>
          <w:tab w:val="num" w:pos="720"/>
        </w:tabs>
        <w:ind w:left="720" w:hanging="36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7B5211E"/>
    <w:multiLevelType w:val="multilevel"/>
    <w:tmpl w:val="5AE6C2EC"/>
    <w:lvl w:ilvl="0">
      <w:start w:val="1"/>
      <w:numFmt w:val="decimal"/>
      <w:lvlText w:val="Article %1"/>
      <w:lvlJc w:val="left"/>
      <w:pPr>
        <w:tabs>
          <w:tab w:val="num" w:pos="992"/>
        </w:tabs>
        <w:ind w:left="992" w:hanging="992"/>
      </w:pPr>
      <w:rPr>
        <w:rFonts w:ascii="Arial" w:hAnsi="Arial" w:hint="default"/>
        <w:b/>
        <w:i w:val="0"/>
        <w:sz w:val="18"/>
      </w:rPr>
    </w:lvl>
    <w:lvl w:ilvl="1">
      <w:start w:val="1"/>
      <w:numFmt w:val="decimal"/>
      <w:lvlText w:val="%1.%2"/>
      <w:lvlJc w:val="left"/>
      <w:pPr>
        <w:tabs>
          <w:tab w:val="num" w:pos="567"/>
        </w:tabs>
        <w:ind w:left="567" w:hanging="567"/>
      </w:pPr>
      <w:rPr>
        <w:rFonts w:ascii="Arial" w:hAnsi="Arial" w:hint="default"/>
        <w:b w:val="0"/>
        <w:bCs w:val="0"/>
        <w:i w:val="0"/>
        <w:iCs w:val="0"/>
        <w:caps w:val="0"/>
        <w:smallCaps w:val="0"/>
        <w:strike w:val="0"/>
        <w:dstrike w:val="0"/>
        <w:outline w:val="0"/>
        <w:shadow w:val="0"/>
        <w:emboss w:val="0"/>
        <w:imprint w:val="0"/>
        <w:color w:val="auto"/>
        <w:spacing w:val="0"/>
        <w:w w:val="100"/>
        <w:kern w:val="0"/>
        <w:position w:val="0"/>
        <w:sz w:val="18"/>
        <w:u w:val="none"/>
        <w:effect w:val="none"/>
        <w:bdr w:val="none" w:sz="0" w:space="0" w:color="auto"/>
        <w:shd w:val="clear" w:color="auto" w:fill="auto"/>
        <w:em w:val="none"/>
      </w:rPr>
    </w:lvl>
    <w:lvl w:ilvl="2">
      <w:start w:val="1"/>
      <w:numFmt w:val="decimal"/>
      <w:lvlText w:val="%1.%2.%3"/>
      <w:lvlJc w:val="left"/>
      <w:pPr>
        <w:tabs>
          <w:tab w:val="num" w:pos="2268"/>
        </w:tabs>
        <w:ind w:left="2268" w:hanging="1701"/>
      </w:pPr>
      <w:rPr>
        <w:rFonts w:ascii="Arial" w:hAnsi="Arial" w:hint="default"/>
        <w:b w:val="0"/>
        <w:i w:val="0"/>
        <w:sz w:val="22"/>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6" w15:restartNumberingAfterBreak="0">
    <w:nsid w:val="79F15DEF"/>
    <w:multiLevelType w:val="singleLevel"/>
    <w:tmpl w:val="D034F912"/>
    <w:lvl w:ilvl="0">
      <w:start w:val="1"/>
      <w:numFmt w:val="decimal"/>
      <w:lvlText w:val="%1)"/>
      <w:legacy w:legacy="1" w:legacySpace="0" w:legacyIndent="360"/>
      <w:lvlJc w:val="left"/>
      <w:pPr>
        <w:ind w:left="3195" w:hanging="360"/>
      </w:pPr>
    </w:lvl>
  </w:abstractNum>
  <w:abstractNum w:abstractNumId="47" w15:restartNumberingAfterBreak="0">
    <w:nsid w:val="7C5C3613"/>
    <w:multiLevelType w:val="singleLevel"/>
    <w:tmpl w:val="CAAE09E2"/>
    <w:lvl w:ilvl="0">
      <w:start w:val="7"/>
      <w:numFmt w:val="decimal"/>
      <w:lvlText w:val="(%1)"/>
      <w:lvlJc w:val="left"/>
      <w:pPr>
        <w:tabs>
          <w:tab w:val="num" w:pos="570"/>
        </w:tabs>
        <w:ind w:left="570" w:hanging="510"/>
      </w:pPr>
      <w:rPr>
        <w:rFonts w:hint="default"/>
      </w:rPr>
    </w:lvl>
  </w:abstractNum>
  <w:abstractNum w:abstractNumId="48" w15:restartNumberingAfterBreak="0">
    <w:nsid w:val="7E0B49B0"/>
    <w:multiLevelType w:val="singleLevel"/>
    <w:tmpl w:val="8F84451A"/>
    <w:lvl w:ilvl="0">
      <w:start w:val="1"/>
      <w:numFmt w:val="bullet"/>
      <w:lvlText w:val="-"/>
      <w:lvlJc w:val="left"/>
      <w:pPr>
        <w:tabs>
          <w:tab w:val="num" w:pos="2061"/>
        </w:tabs>
        <w:ind w:left="2061" w:hanging="360"/>
      </w:pPr>
      <w:rPr>
        <w:rFonts w:hint="default"/>
      </w:rPr>
    </w:lvl>
  </w:abstractNum>
  <w:abstractNum w:abstractNumId="49" w15:restartNumberingAfterBreak="0">
    <w:nsid w:val="7F48471A"/>
    <w:multiLevelType w:val="hybridMultilevel"/>
    <w:tmpl w:val="EFECCF50"/>
    <w:lvl w:ilvl="0" w:tplc="9C6EAC26">
      <w:numFmt w:val="bullet"/>
      <w:lvlText w:val="-"/>
      <w:lvlJc w:val="left"/>
      <w:pPr>
        <w:tabs>
          <w:tab w:val="num" w:pos="786"/>
        </w:tabs>
        <w:ind w:left="786" w:hanging="360"/>
      </w:pPr>
      <w:rPr>
        <w:rFonts w:ascii="@Arial Unicode MS" w:eastAsia="@Arial Unicode MS" w:hAnsi="@Arial Unicode MS" w:cs="@Arial Unicode MS"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013190136">
    <w:abstractNumId w:val="11"/>
  </w:num>
  <w:num w:numId="2" w16cid:durableId="1629434617">
    <w:abstractNumId w:val="32"/>
  </w:num>
  <w:num w:numId="3" w16cid:durableId="923683003">
    <w:abstractNumId w:val="8"/>
  </w:num>
  <w:num w:numId="4" w16cid:durableId="1488085949">
    <w:abstractNumId w:val="9"/>
  </w:num>
  <w:num w:numId="5" w16cid:durableId="1982231217">
    <w:abstractNumId w:val="40"/>
  </w:num>
  <w:num w:numId="6" w16cid:durableId="1993679306">
    <w:abstractNumId w:val="13"/>
  </w:num>
  <w:num w:numId="7" w16cid:durableId="234513646">
    <w:abstractNumId w:val="15"/>
  </w:num>
  <w:num w:numId="8" w16cid:durableId="600842638">
    <w:abstractNumId w:val="12"/>
  </w:num>
  <w:num w:numId="9" w16cid:durableId="952783650">
    <w:abstractNumId w:val="3"/>
  </w:num>
  <w:num w:numId="10" w16cid:durableId="1658875279">
    <w:abstractNumId w:val="29"/>
  </w:num>
  <w:num w:numId="11" w16cid:durableId="1378698520">
    <w:abstractNumId w:val="47"/>
  </w:num>
  <w:num w:numId="12" w16cid:durableId="2062438786">
    <w:abstractNumId w:val="19"/>
  </w:num>
  <w:num w:numId="13" w16cid:durableId="953943365">
    <w:abstractNumId w:val="2"/>
  </w:num>
  <w:num w:numId="14" w16cid:durableId="1227566081">
    <w:abstractNumId w:val="14"/>
  </w:num>
  <w:num w:numId="15" w16cid:durableId="1528787702">
    <w:abstractNumId w:val="35"/>
  </w:num>
  <w:num w:numId="16" w16cid:durableId="1998455443">
    <w:abstractNumId w:val="6"/>
  </w:num>
  <w:num w:numId="17" w16cid:durableId="965087534">
    <w:abstractNumId w:val="26"/>
  </w:num>
  <w:num w:numId="18" w16cid:durableId="673193945">
    <w:abstractNumId w:val="27"/>
  </w:num>
  <w:num w:numId="19" w16cid:durableId="1609579763">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20" w16cid:durableId="1257133204">
    <w:abstractNumId w:val="32"/>
  </w:num>
  <w:num w:numId="21" w16cid:durableId="528494369">
    <w:abstractNumId w:val="30"/>
  </w:num>
  <w:num w:numId="22" w16cid:durableId="654840803">
    <w:abstractNumId w:val="5"/>
  </w:num>
  <w:num w:numId="23" w16cid:durableId="173619605">
    <w:abstractNumId w:val="42"/>
  </w:num>
  <w:num w:numId="24" w16cid:durableId="1903981183">
    <w:abstractNumId w:val="38"/>
  </w:num>
  <w:num w:numId="25" w16cid:durableId="398525231">
    <w:abstractNumId w:val="17"/>
  </w:num>
  <w:num w:numId="26" w16cid:durableId="1920868725">
    <w:abstractNumId w:val="39"/>
  </w:num>
  <w:num w:numId="27" w16cid:durableId="966006457">
    <w:abstractNumId w:val="20"/>
  </w:num>
  <w:num w:numId="28" w16cid:durableId="1214931295">
    <w:abstractNumId w:val="31"/>
  </w:num>
  <w:num w:numId="29" w16cid:durableId="816841088">
    <w:abstractNumId w:val="21"/>
  </w:num>
  <w:num w:numId="30" w16cid:durableId="1607273218">
    <w:abstractNumId w:val="43"/>
  </w:num>
  <w:num w:numId="31" w16cid:durableId="185600477">
    <w:abstractNumId w:val="22"/>
  </w:num>
  <w:num w:numId="32" w16cid:durableId="597714817">
    <w:abstractNumId w:val="48"/>
  </w:num>
  <w:num w:numId="33" w16cid:durableId="375546658">
    <w:abstractNumId w:val="36"/>
  </w:num>
  <w:num w:numId="34" w16cid:durableId="627399852">
    <w:abstractNumId w:val="25"/>
  </w:num>
  <w:num w:numId="35" w16cid:durableId="285161362">
    <w:abstractNumId w:val="24"/>
  </w:num>
  <w:num w:numId="36" w16cid:durableId="61487705">
    <w:abstractNumId w:val="33"/>
  </w:num>
  <w:num w:numId="37" w16cid:durableId="633633321">
    <w:abstractNumId w:val="37"/>
  </w:num>
  <w:num w:numId="38" w16cid:durableId="2145657303">
    <w:abstractNumId w:val="46"/>
  </w:num>
  <w:num w:numId="39" w16cid:durableId="1672218785">
    <w:abstractNumId w:val="0"/>
    <w:lvlOverride w:ilvl="0">
      <w:lvl w:ilvl="0">
        <w:numFmt w:val="bullet"/>
        <w:lvlText w:val=""/>
        <w:legacy w:legacy="1" w:legacySpace="0" w:legacyIndent="360"/>
        <w:lvlJc w:val="left"/>
        <w:pPr>
          <w:ind w:left="720" w:hanging="360"/>
        </w:pPr>
        <w:rPr>
          <w:rFonts w:ascii="Symbol" w:hAnsi="Symbol" w:hint="default"/>
        </w:rPr>
      </w:lvl>
    </w:lvlOverride>
  </w:num>
  <w:num w:numId="40" w16cid:durableId="1066533859">
    <w:abstractNumId w:val="34"/>
  </w:num>
  <w:num w:numId="41" w16cid:durableId="1567305211">
    <w:abstractNumId w:val="16"/>
  </w:num>
  <w:num w:numId="42" w16cid:durableId="1975061029">
    <w:abstractNumId w:val="28"/>
  </w:num>
  <w:num w:numId="43" w16cid:durableId="497695248">
    <w:abstractNumId w:val="10"/>
  </w:num>
  <w:num w:numId="44" w16cid:durableId="1961648146">
    <w:abstractNumId w:val="45"/>
  </w:num>
  <w:num w:numId="45" w16cid:durableId="2140686768">
    <w:abstractNumId w:val="23"/>
  </w:num>
  <w:num w:numId="46" w16cid:durableId="1163084881">
    <w:abstractNumId w:val="49"/>
  </w:num>
  <w:num w:numId="47" w16cid:durableId="1027874034">
    <w:abstractNumId w:val="44"/>
  </w:num>
  <w:num w:numId="48" w16cid:durableId="1200627710">
    <w:abstractNumId w:val="18"/>
  </w:num>
  <w:num w:numId="49" w16cid:durableId="1974019944">
    <w:abstractNumId w:val="1"/>
  </w:num>
  <w:num w:numId="50" w16cid:durableId="1768771459">
    <w:abstractNumId w:val="4"/>
  </w:num>
  <w:num w:numId="51" w16cid:durableId="1454597940">
    <w:abstractNumId w:val="1"/>
    <w:lvlOverride w:ilvl="0">
      <w:startOverride w:val="1"/>
    </w:lvlOverride>
    <w:lvlOverride w:ilvl="1"/>
    <w:lvlOverride w:ilvl="2"/>
    <w:lvlOverride w:ilvl="3"/>
    <w:lvlOverride w:ilvl="4"/>
    <w:lvlOverride w:ilvl="5"/>
    <w:lvlOverride w:ilvl="6"/>
    <w:lvlOverride w:ilvl="7"/>
    <w:lvlOverride w:ilvl="8"/>
  </w:num>
  <w:num w:numId="52" w16cid:durableId="1475247331">
    <w:abstractNumId w:val="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73729"/>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docVars>
    <w:docVar w:name="LW_DocType" w:val="NORMAL"/>
  </w:docVars>
  <w:rsids>
    <w:rsidRoot w:val="00D550F2"/>
    <w:rsid w:val="00004FB1"/>
    <w:rsid w:val="00010683"/>
    <w:rsid w:val="00010DDE"/>
    <w:rsid w:val="00032787"/>
    <w:rsid w:val="000408EB"/>
    <w:rsid w:val="0004095E"/>
    <w:rsid w:val="00051CFE"/>
    <w:rsid w:val="00053FC9"/>
    <w:rsid w:val="0006359F"/>
    <w:rsid w:val="000648BB"/>
    <w:rsid w:val="00067614"/>
    <w:rsid w:val="0007457D"/>
    <w:rsid w:val="00076624"/>
    <w:rsid w:val="000801ED"/>
    <w:rsid w:val="000913E8"/>
    <w:rsid w:val="0009366A"/>
    <w:rsid w:val="00095404"/>
    <w:rsid w:val="000A2EC0"/>
    <w:rsid w:val="000A62E3"/>
    <w:rsid w:val="000A66D8"/>
    <w:rsid w:val="000A6C76"/>
    <w:rsid w:val="000B182D"/>
    <w:rsid w:val="000B7876"/>
    <w:rsid w:val="000C2FA9"/>
    <w:rsid w:val="000D20D5"/>
    <w:rsid w:val="000D3275"/>
    <w:rsid w:val="000D7C22"/>
    <w:rsid w:val="000D7EA9"/>
    <w:rsid w:val="000E1546"/>
    <w:rsid w:val="000E38EE"/>
    <w:rsid w:val="000E4949"/>
    <w:rsid w:val="000E6A9C"/>
    <w:rsid w:val="0010297A"/>
    <w:rsid w:val="00107FD0"/>
    <w:rsid w:val="00112620"/>
    <w:rsid w:val="00114EAE"/>
    <w:rsid w:val="00116389"/>
    <w:rsid w:val="00123D3B"/>
    <w:rsid w:val="001245A3"/>
    <w:rsid w:val="0012517A"/>
    <w:rsid w:val="001320C0"/>
    <w:rsid w:val="00132AC3"/>
    <w:rsid w:val="00132C2D"/>
    <w:rsid w:val="001330EA"/>
    <w:rsid w:val="001352B5"/>
    <w:rsid w:val="00135920"/>
    <w:rsid w:val="00144191"/>
    <w:rsid w:val="00152E43"/>
    <w:rsid w:val="001546D1"/>
    <w:rsid w:val="0015671D"/>
    <w:rsid w:val="00162F2E"/>
    <w:rsid w:val="001671BA"/>
    <w:rsid w:val="001722D2"/>
    <w:rsid w:val="001905E9"/>
    <w:rsid w:val="00191BAF"/>
    <w:rsid w:val="001923A0"/>
    <w:rsid w:val="00195CF1"/>
    <w:rsid w:val="0019713F"/>
    <w:rsid w:val="001B0041"/>
    <w:rsid w:val="001B53F1"/>
    <w:rsid w:val="001C0F8D"/>
    <w:rsid w:val="001C6084"/>
    <w:rsid w:val="001D4B42"/>
    <w:rsid w:val="001D7DE1"/>
    <w:rsid w:val="001D7DF6"/>
    <w:rsid w:val="001E0F81"/>
    <w:rsid w:val="001F05D0"/>
    <w:rsid w:val="00200F20"/>
    <w:rsid w:val="002145F0"/>
    <w:rsid w:val="002158DE"/>
    <w:rsid w:val="00216E18"/>
    <w:rsid w:val="0022498C"/>
    <w:rsid w:val="00230A4D"/>
    <w:rsid w:val="00236C06"/>
    <w:rsid w:val="00245C38"/>
    <w:rsid w:val="0025654F"/>
    <w:rsid w:val="00257FFE"/>
    <w:rsid w:val="00267A6D"/>
    <w:rsid w:val="00270A64"/>
    <w:rsid w:val="00276039"/>
    <w:rsid w:val="00276EDD"/>
    <w:rsid w:val="00277322"/>
    <w:rsid w:val="00280DDC"/>
    <w:rsid w:val="00283114"/>
    <w:rsid w:val="00284DA4"/>
    <w:rsid w:val="00285B8F"/>
    <w:rsid w:val="002870D9"/>
    <w:rsid w:val="00290ACC"/>
    <w:rsid w:val="002910D0"/>
    <w:rsid w:val="00294800"/>
    <w:rsid w:val="00296532"/>
    <w:rsid w:val="002A1E7B"/>
    <w:rsid w:val="002A3E8D"/>
    <w:rsid w:val="002A5DA4"/>
    <w:rsid w:val="002A75C6"/>
    <w:rsid w:val="002B0E84"/>
    <w:rsid w:val="002B2217"/>
    <w:rsid w:val="002B2ACE"/>
    <w:rsid w:val="002B75E8"/>
    <w:rsid w:val="002C0AA5"/>
    <w:rsid w:val="002C0C3A"/>
    <w:rsid w:val="002C2963"/>
    <w:rsid w:val="002C2F4F"/>
    <w:rsid w:val="002C565F"/>
    <w:rsid w:val="002C70AD"/>
    <w:rsid w:val="002D0BBE"/>
    <w:rsid w:val="002D1DBA"/>
    <w:rsid w:val="002D45FA"/>
    <w:rsid w:val="002D60B1"/>
    <w:rsid w:val="002F1FC0"/>
    <w:rsid w:val="002F4BAC"/>
    <w:rsid w:val="002F6273"/>
    <w:rsid w:val="0030579B"/>
    <w:rsid w:val="003121C6"/>
    <w:rsid w:val="00323286"/>
    <w:rsid w:val="00324ED6"/>
    <w:rsid w:val="003352E7"/>
    <w:rsid w:val="00337A67"/>
    <w:rsid w:val="00340F05"/>
    <w:rsid w:val="003436FE"/>
    <w:rsid w:val="003473B1"/>
    <w:rsid w:val="00347F40"/>
    <w:rsid w:val="003515D3"/>
    <w:rsid w:val="003560DB"/>
    <w:rsid w:val="00356F32"/>
    <w:rsid w:val="00360191"/>
    <w:rsid w:val="00360FEF"/>
    <w:rsid w:val="00364B4F"/>
    <w:rsid w:val="00367D4E"/>
    <w:rsid w:val="00372714"/>
    <w:rsid w:val="00383F09"/>
    <w:rsid w:val="00390F9D"/>
    <w:rsid w:val="003922CF"/>
    <w:rsid w:val="003924DF"/>
    <w:rsid w:val="00394C45"/>
    <w:rsid w:val="00395A65"/>
    <w:rsid w:val="00396D4A"/>
    <w:rsid w:val="0039731F"/>
    <w:rsid w:val="003A168B"/>
    <w:rsid w:val="003A3451"/>
    <w:rsid w:val="003A563C"/>
    <w:rsid w:val="003B1395"/>
    <w:rsid w:val="003C1B95"/>
    <w:rsid w:val="003C2433"/>
    <w:rsid w:val="003C32A1"/>
    <w:rsid w:val="003C457E"/>
    <w:rsid w:val="003C5CBF"/>
    <w:rsid w:val="003C680B"/>
    <w:rsid w:val="003D4BC7"/>
    <w:rsid w:val="003D6F7B"/>
    <w:rsid w:val="003E033C"/>
    <w:rsid w:val="003E1798"/>
    <w:rsid w:val="003E2B40"/>
    <w:rsid w:val="003E417C"/>
    <w:rsid w:val="003E5072"/>
    <w:rsid w:val="003F033F"/>
    <w:rsid w:val="003F11CA"/>
    <w:rsid w:val="003F160F"/>
    <w:rsid w:val="003F36FE"/>
    <w:rsid w:val="003F5D60"/>
    <w:rsid w:val="00402958"/>
    <w:rsid w:val="00403BC2"/>
    <w:rsid w:val="00412E59"/>
    <w:rsid w:val="0041609B"/>
    <w:rsid w:val="004174D2"/>
    <w:rsid w:val="00420EB5"/>
    <w:rsid w:val="004250B3"/>
    <w:rsid w:val="00430CD6"/>
    <w:rsid w:val="00434237"/>
    <w:rsid w:val="00436468"/>
    <w:rsid w:val="00442485"/>
    <w:rsid w:val="0044291E"/>
    <w:rsid w:val="00443293"/>
    <w:rsid w:val="004560C1"/>
    <w:rsid w:val="0046146E"/>
    <w:rsid w:val="00462D3B"/>
    <w:rsid w:val="00463A51"/>
    <w:rsid w:val="00470D58"/>
    <w:rsid w:val="004723F7"/>
    <w:rsid w:val="00472847"/>
    <w:rsid w:val="00477B81"/>
    <w:rsid w:val="00484B93"/>
    <w:rsid w:val="0048664A"/>
    <w:rsid w:val="00490B0C"/>
    <w:rsid w:val="00491D2A"/>
    <w:rsid w:val="0049480E"/>
    <w:rsid w:val="00495144"/>
    <w:rsid w:val="004968C0"/>
    <w:rsid w:val="004974AA"/>
    <w:rsid w:val="00497FEF"/>
    <w:rsid w:val="004A5395"/>
    <w:rsid w:val="004A5743"/>
    <w:rsid w:val="004A759B"/>
    <w:rsid w:val="004B1952"/>
    <w:rsid w:val="004B585D"/>
    <w:rsid w:val="004C1442"/>
    <w:rsid w:val="004C2E96"/>
    <w:rsid w:val="004C588C"/>
    <w:rsid w:val="004C6E94"/>
    <w:rsid w:val="004D2399"/>
    <w:rsid w:val="0050060E"/>
    <w:rsid w:val="0050118C"/>
    <w:rsid w:val="00506C7B"/>
    <w:rsid w:val="00510846"/>
    <w:rsid w:val="00513581"/>
    <w:rsid w:val="00515F54"/>
    <w:rsid w:val="00517439"/>
    <w:rsid w:val="005174E0"/>
    <w:rsid w:val="005275DC"/>
    <w:rsid w:val="0053408B"/>
    <w:rsid w:val="00537E5A"/>
    <w:rsid w:val="00547D23"/>
    <w:rsid w:val="005510F3"/>
    <w:rsid w:val="005611F8"/>
    <w:rsid w:val="0056210A"/>
    <w:rsid w:val="0056414B"/>
    <w:rsid w:val="005653B8"/>
    <w:rsid w:val="005709BB"/>
    <w:rsid w:val="005733E1"/>
    <w:rsid w:val="00574C51"/>
    <w:rsid w:val="00574DD1"/>
    <w:rsid w:val="005759DB"/>
    <w:rsid w:val="00581B72"/>
    <w:rsid w:val="00581E20"/>
    <w:rsid w:val="00590B4E"/>
    <w:rsid w:val="00592635"/>
    <w:rsid w:val="00594441"/>
    <w:rsid w:val="005946B1"/>
    <w:rsid w:val="00596823"/>
    <w:rsid w:val="005A261C"/>
    <w:rsid w:val="005B1CFE"/>
    <w:rsid w:val="005B2947"/>
    <w:rsid w:val="005C0196"/>
    <w:rsid w:val="005C4329"/>
    <w:rsid w:val="005C44AA"/>
    <w:rsid w:val="005C5EAE"/>
    <w:rsid w:val="005D17B7"/>
    <w:rsid w:val="005D2937"/>
    <w:rsid w:val="005D561D"/>
    <w:rsid w:val="005D6DF1"/>
    <w:rsid w:val="005D7C7C"/>
    <w:rsid w:val="005E267D"/>
    <w:rsid w:val="005F1EF3"/>
    <w:rsid w:val="00603135"/>
    <w:rsid w:val="00607779"/>
    <w:rsid w:val="00607822"/>
    <w:rsid w:val="0061177F"/>
    <w:rsid w:val="006152C2"/>
    <w:rsid w:val="00617691"/>
    <w:rsid w:val="00617AC8"/>
    <w:rsid w:val="00617ECD"/>
    <w:rsid w:val="00625184"/>
    <w:rsid w:val="006259C8"/>
    <w:rsid w:val="00630399"/>
    <w:rsid w:val="006305CC"/>
    <w:rsid w:val="00632671"/>
    <w:rsid w:val="006332F4"/>
    <w:rsid w:val="00634124"/>
    <w:rsid w:val="0063462A"/>
    <w:rsid w:val="006365A9"/>
    <w:rsid w:val="006577FB"/>
    <w:rsid w:val="00660FDC"/>
    <w:rsid w:val="006671A1"/>
    <w:rsid w:val="00667D3F"/>
    <w:rsid w:val="00671B3D"/>
    <w:rsid w:val="00681768"/>
    <w:rsid w:val="0068227D"/>
    <w:rsid w:val="006903D3"/>
    <w:rsid w:val="0069356A"/>
    <w:rsid w:val="0069477D"/>
    <w:rsid w:val="00694A32"/>
    <w:rsid w:val="00695F78"/>
    <w:rsid w:val="006A1730"/>
    <w:rsid w:val="006A4DD9"/>
    <w:rsid w:val="006A5EBB"/>
    <w:rsid w:val="006A60D3"/>
    <w:rsid w:val="006B5D3E"/>
    <w:rsid w:val="006C13E7"/>
    <w:rsid w:val="006C2E31"/>
    <w:rsid w:val="006D2D00"/>
    <w:rsid w:val="006D3532"/>
    <w:rsid w:val="006D6595"/>
    <w:rsid w:val="006F25A2"/>
    <w:rsid w:val="006F2B10"/>
    <w:rsid w:val="006F2E45"/>
    <w:rsid w:val="006F5D6C"/>
    <w:rsid w:val="00723171"/>
    <w:rsid w:val="00723F89"/>
    <w:rsid w:val="007253F2"/>
    <w:rsid w:val="00726033"/>
    <w:rsid w:val="0073129E"/>
    <w:rsid w:val="00732F51"/>
    <w:rsid w:val="00740133"/>
    <w:rsid w:val="00743575"/>
    <w:rsid w:val="007511A0"/>
    <w:rsid w:val="00752DFE"/>
    <w:rsid w:val="00755800"/>
    <w:rsid w:val="00756C91"/>
    <w:rsid w:val="0075795B"/>
    <w:rsid w:val="00763C86"/>
    <w:rsid w:val="00764CE7"/>
    <w:rsid w:val="00764EDA"/>
    <w:rsid w:val="007671B3"/>
    <w:rsid w:val="00770F66"/>
    <w:rsid w:val="007738B8"/>
    <w:rsid w:val="0077724A"/>
    <w:rsid w:val="00781FBB"/>
    <w:rsid w:val="007828CC"/>
    <w:rsid w:val="00785980"/>
    <w:rsid w:val="0078732E"/>
    <w:rsid w:val="0078774A"/>
    <w:rsid w:val="0079374A"/>
    <w:rsid w:val="007A0123"/>
    <w:rsid w:val="007A33DE"/>
    <w:rsid w:val="007A6BE3"/>
    <w:rsid w:val="007C0F8D"/>
    <w:rsid w:val="007C5CD0"/>
    <w:rsid w:val="007D7056"/>
    <w:rsid w:val="007E6A55"/>
    <w:rsid w:val="007E7D2E"/>
    <w:rsid w:val="007F026D"/>
    <w:rsid w:val="007F0696"/>
    <w:rsid w:val="007F482D"/>
    <w:rsid w:val="007F760C"/>
    <w:rsid w:val="007F7A0E"/>
    <w:rsid w:val="008019BD"/>
    <w:rsid w:val="00802974"/>
    <w:rsid w:val="008053C7"/>
    <w:rsid w:val="00810173"/>
    <w:rsid w:val="00820892"/>
    <w:rsid w:val="008222F7"/>
    <w:rsid w:val="008244BC"/>
    <w:rsid w:val="008252E4"/>
    <w:rsid w:val="00825540"/>
    <w:rsid w:val="00835682"/>
    <w:rsid w:val="00840772"/>
    <w:rsid w:val="00840E25"/>
    <w:rsid w:val="0084208E"/>
    <w:rsid w:val="00844B94"/>
    <w:rsid w:val="00845B24"/>
    <w:rsid w:val="0084730F"/>
    <w:rsid w:val="008531BA"/>
    <w:rsid w:val="00855F72"/>
    <w:rsid w:val="00857968"/>
    <w:rsid w:val="008614A1"/>
    <w:rsid w:val="00861D68"/>
    <w:rsid w:val="00862269"/>
    <w:rsid w:val="0086719E"/>
    <w:rsid w:val="008716ED"/>
    <w:rsid w:val="00876E3F"/>
    <w:rsid w:val="00883936"/>
    <w:rsid w:val="00886CB0"/>
    <w:rsid w:val="00890EE8"/>
    <w:rsid w:val="00893128"/>
    <w:rsid w:val="00897556"/>
    <w:rsid w:val="008A1B12"/>
    <w:rsid w:val="008A2D1A"/>
    <w:rsid w:val="008A2EDF"/>
    <w:rsid w:val="008A3B7F"/>
    <w:rsid w:val="008A6CC7"/>
    <w:rsid w:val="008A70DB"/>
    <w:rsid w:val="008B472A"/>
    <w:rsid w:val="008B4E58"/>
    <w:rsid w:val="008B590C"/>
    <w:rsid w:val="008B7461"/>
    <w:rsid w:val="008B776B"/>
    <w:rsid w:val="008C5E93"/>
    <w:rsid w:val="008D2F00"/>
    <w:rsid w:val="008E6FB3"/>
    <w:rsid w:val="008E708B"/>
    <w:rsid w:val="008F2B98"/>
    <w:rsid w:val="008F50EE"/>
    <w:rsid w:val="00902DD5"/>
    <w:rsid w:val="0090313A"/>
    <w:rsid w:val="0090536A"/>
    <w:rsid w:val="009063CE"/>
    <w:rsid w:val="00912CE7"/>
    <w:rsid w:val="00917284"/>
    <w:rsid w:val="00917F5E"/>
    <w:rsid w:val="009263BF"/>
    <w:rsid w:val="00931905"/>
    <w:rsid w:val="00933858"/>
    <w:rsid w:val="00936740"/>
    <w:rsid w:val="00937074"/>
    <w:rsid w:val="009407D2"/>
    <w:rsid w:val="0094340C"/>
    <w:rsid w:val="009436A4"/>
    <w:rsid w:val="00952198"/>
    <w:rsid w:val="0095459D"/>
    <w:rsid w:val="00956082"/>
    <w:rsid w:val="00957B6D"/>
    <w:rsid w:val="00960F2E"/>
    <w:rsid w:val="0096668F"/>
    <w:rsid w:val="009701F4"/>
    <w:rsid w:val="00971DFE"/>
    <w:rsid w:val="00973FC0"/>
    <w:rsid w:val="00982B79"/>
    <w:rsid w:val="00982C44"/>
    <w:rsid w:val="00987220"/>
    <w:rsid w:val="00994941"/>
    <w:rsid w:val="009951F1"/>
    <w:rsid w:val="009A1502"/>
    <w:rsid w:val="009B073E"/>
    <w:rsid w:val="009B3435"/>
    <w:rsid w:val="009B3B55"/>
    <w:rsid w:val="009B51D6"/>
    <w:rsid w:val="009B605A"/>
    <w:rsid w:val="009C3EB2"/>
    <w:rsid w:val="009C777F"/>
    <w:rsid w:val="009C7BD6"/>
    <w:rsid w:val="009D12E8"/>
    <w:rsid w:val="009D25DC"/>
    <w:rsid w:val="009D43FD"/>
    <w:rsid w:val="009D4E42"/>
    <w:rsid w:val="009E1701"/>
    <w:rsid w:val="009E695D"/>
    <w:rsid w:val="009F1607"/>
    <w:rsid w:val="00A009D6"/>
    <w:rsid w:val="00A00C4C"/>
    <w:rsid w:val="00A019FF"/>
    <w:rsid w:val="00A05E70"/>
    <w:rsid w:val="00A060B5"/>
    <w:rsid w:val="00A07D0E"/>
    <w:rsid w:val="00A07EED"/>
    <w:rsid w:val="00A10CF4"/>
    <w:rsid w:val="00A1574E"/>
    <w:rsid w:val="00A30058"/>
    <w:rsid w:val="00A329B2"/>
    <w:rsid w:val="00A33F3E"/>
    <w:rsid w:val="00A41FF4"/>
    <w:rsid w:val="00A42171"/>
    <w:rsid w:val="00A52334"/>
    <w:rsid w:val="00A52D0F"/>
    <w:rsid w:val="00A61013"/>
    <w:rsid w:val="00A62E0D"/>
    <w:rsid w:val="00A645AC"/>
    <w:rsid w:val="00A655C7"/>
    <w:rsid w:val="00A676CA"/>
    <w:rsid w:val="00A7065A"/>
    <w:rsid w:val="00A71182"/>
    <w:rsid w:val="00A81096"/>
    <w:rsid w:val="00A85081"/>
    <w:rsid w:val="00A920EB"/>
    <w:rsid w:val="00A956FE"/>
    <w:rsid w:val="00AA3043"/>
    <w:rsid w:val="00AB5A10"/>
    <w:rsid w:val="00AB5C71"/>
    <w:rsid w:val="00AB7549"/>
    <w:rsid w:val="00AC3E5E"/>
    <w:rsid w:val="00AC4A12"/>
    <w:rsid w:val="00AC5A6D"/>
    <w:rsid w:val="00AD64B5"/>
    <w:rsid w:val="00AD75FF"/>
    <w:rsid w:val="00AE10C1"/>
    <w:rsid w:val="00AE127E"/>
    <w:rsid w:val="00AF52D3"/>
    <w:rsid w:val="00AF5383"/>
    <w:rsid w:val="00AF58E9"/>
    <w:rsid w:val="00AF5E8B"/>
    <w:rsid w:val="00AF71EE"/>
    <w:rsid w:val="00B0097D"/>
    <w:rsid w:val="00B036D3"/>
    <w:rsid w:val="00B064AC"/>
    <w:rsid w:val="00B124F1"/>
    <w:rsid w:val="00B12BC0"/>
    <w:rsid w:val="00B12C98"/>
    <w:rsid w:val="00B15D53"/>
    <w:rsid w:val="00B165A4"/>
    <w:rsid w:val="00B16907"/>
    <w:rsid w:val="00B231DF"/>
    <w:rsid w:val="00B2329A"/>
    <w:rsid w:val="00B25508"/>
    <w:rsid w:val="00B263FB"/>
    <w:rsid w:val="00B30658"/>
    <w:rsid w:val="00B30B16"/>
    <w:rsid w:val="00B31376"/>
    <w:rsid w:val="00B34D23"/>
    <w:rsid w:val="00B35BE1"/>
    <w:rsid w:val="00B37F77"/>
    <w:rsid w:val="00B50807"/>
    <w:rsid w:val="00B53824"/>
    <w:rsid w:val="00B5592A"/>
    <w:rsid w:val="00B56865"/>
    <w:rsid w:val="00B57716"/>
    <w:rsid w:val="00B62022"/>
    <w:rsid w:val="00B62100"/>
    <w:rsid w:val="00B748D9"/>
    <w:rsid w:val="00B74FE3"/>
    <w:rsid w:val="00B767D5"/>
    <w:rsid w:val="00B77741"/>
    <w:rsid w:val="00B77947"/>
    <w:rsid w:val="00B8292F"/>
    <w:rsid w:val="00B83221"/>
    <w:rsid w:val="00B860B0"/>
    <w:rsid w:val="00B862E7"/>
    <w:rsid w:val="00B86896"/>
    <w:rsid w:val="00B93E1E"/>
    <w:rsid w:val="00B95704"/>
    <w:rsid w:val="00B962B5"/>
    <w:rsid w:val="00BA1255"/>
    <w:rsid w:val="00BA1425"/>
    <w:rsid w:val="00BA7B95"/>
    <w:rsid w:val="00BB37B4"/>
    <w:rsid w:val="00BB6C9D"/>
    <w:rsid w:val="00BB7F8A"/>
    <w:rsid w:val="00BC20DF"/>
    <w:rsid w:val="00BC3297"/>
    <w:rsid w:val="00BC4F57"/>
    <w:rsid w:val="00BC7E55"/>
    <w:rsid w:val="00BD15EF"/>
    <w:rsid w:val="00BD5B00"/>
    <w:rsid w:val="00BD68E6"/>
    <w:rsid w:val="00BE01D7"/>
    <w:rsid w:val="00BE3823"/>
    <w:rsid w:val="00BE522F"/>
    <w:rsid w:val="00BE535B"/>
    <w:rsid w:val="00BE7608"/>
    <w:rsid w:val="00BE7CAF"/>
    <w:rsid w:val="00BF01CC"/>
    <w:rsid w:val="00BF497E"/>
    <w:rsid w:val="00C018BA"/>
    <w:rsid w:val="00C06F58"/>
    <w:rsid w:val="00C1267B"/>
    <w:rsid w:val="00C139BB"/>
    <w:rsid w:val="00C15EC3"/>
    <w:rsid w:val="00C21D95"/>
    <w:rsid w:val="00C2286C"/>
    <w:rsid w:val="00C24CF8"/>
    <w:rsid w:val="00C26931"/>
    <w:rsid w:val="00C33368"/>
    <w:rsid w:val="00C40708"/>
    <w:rsid w:val="00C41562"/>
    <w:rsid w:val="00C55903"/>
    <w:rsid w:val="00C619A5"/>
    <w:rsid w:val="00C71920"/>
    <w:rsid w:val="00C80A93"/>
    <w:rsid w:val="00C80EEB"/>
    <w:rsid w:val="00C82310"/>
    <w:rsid w:val="00C8498F"/>
    <w:rsid w:val="00C91E5B"/>
    <w:rsid w:val="00C92723"/>
    <w:rsid w:val="00C93A9A"/>
    <w:rsid w:val="00C94CBF"/>
    <w:rsid w:val="00CA0349"/>
    <w:rsid w:val="00CA0D55"/>
    <w:rsid w:val="00CA2145"/>
    <w:rsid w:val="00CA31B7"/>
    <w:rsid w:val="00CA466F"/>
    <w:rsid w:val="00CA7115"/>
    <w:rsid w:val="00CB03F6"/>
    <w:rsid w:val="00CB1B55"/>
    <w:rsid w:val="00CB5402"/>
    <w:rsid w:val="00CB58FE"/>
    <w:rsid w:val="00CC396F"/>
    <w:rsid w:val="00CC6455"/>
    <w:rsid w:val="00CD52C8"/>
    <w:rsid w:val="00CD58E6"/>
    <w:rsid w:val="00CD78C3"/>
    <w:rsid w:val="00CE3809"/>
    <w:rsid w:val="00CF2D74"/>
    <w:rsid w:val="00CF4F14"/>
    <w:rsid w:val="00D004DC"/>
    <w:rsid w:val="00D00E76"/>
    <w:rsid w:val="00D022A2"/>
    <w:rsid w:val="00D050A7"/>
    <w:rsid w:val="00D07BE1"/>
    <w:rsid w:val="00D16EDF"/>
    <w:rsid w:val="00D22624"/>
    <w:rsid w:val="00D25AD1"/>
    <w:rsid w:val="00D305DF"/>
    <w:rsid w:val="00D32C37"/>
    <w:rsid w:val="00D4050F"/>
    <w:rsid w:val="00D41760"/>
    <w:rsid w:val="00D41873"/>
    <w:rsid w:val="00D4662E"/>
    <w:rsid w:val="00D475F9"/>
    <w:rsid w:val="00D50F63"/>
    <w:rsid w:val="00D54C6B"/>
    <w:rsid w:val="00D54FCF"/>
    <w:rsid w:val="00D550F2"/>
    <w:rsid w:val="00D6077E"/>
    <w:rsid w:val="00D6597E"/>
    <w:rsid w:val="00D66C63"/>
    <w:rsid w:val="00D67EA5"/>
    <w:rsid w:val="00D81285"/>
    <w:rsid w:val="00D84527"/>
    <w:rsid w:val="00D86F6D"/>
    <w:rsid w:val="00D9249B"/>
    <w:rsid w:val="00D96E00"/>
    <w:rsid w:val="00DA221E"/>
    <w:rsid w:val="00DA36DC"/>
    <w:rsid w:val="00DB170E"/>
    <w:rsid w:val="00DB30DE"/>
    <w:rsid w:val="00DB3DFE"/>
    <w:rsid w:val="00DB44A8"/>
    <w:rsid w:val="00DC2764"/>
    <w:rsid w:val="00DC28AA"/>
    <w:rsid w:val="00DE1210"/>
    <w:rsid w:val="00DF3566"/>
    <w:rsid w:val="00DF3854"/>
    <w:rsid w:val="00DF387E"/>
    <w:rsid w:val="00DF4EF4"/>
    <w:rsid w:val="00DF5D03"/>
    <w:rsid w:val="00E0084A"/>
    <w:rsid w:val="00E00BDA"/>
    <w:rsid w:val="00E013CC"/>
    <w:rsid w:val="00E152D1"/>
    <w:rsid w:val="00E32ED2"/>
    <w:rsid w:val="00E35438"/>
    <w:rsid w:val="00E35507"/>
    <w:rsid w:val="00E35A94"/>
    <w:rsid w:val="00E446B7"/>
    <w:rsid w:val="00E44CB7"/>
    <w:rsid w:val="00E46553"/>
    <w:rsid w:val="00E527B2"/>
    <w:rsid w:val="00E740DD"/>
    <w:rsid w:val="00E8191A"/>
    <w:rsid w:val="00E86C7D"/>
    <w:rsid w:val="00E87624"/>
    <w:rsid w:val="00E92130"/>
    <w:rsid w:val="00E92704"/>
    <w:rsid w:val="00E93A5F"/>
    <w:rsid w:val="00E945EF"/>
    <w:rsid w:val="00E9632A"/>
    <w:rsid w:val="00E9652B"/>
    <w:rsid w:val="00E96687"/>
    <w:rsid w:val="00EA6B94"/>
    <w:rsid w:val="00EA7FAC"/>
    <w:rsid w:val="00EB0510"/>
    <w:rsid w:val="00EC32AB"/>
    <w:rsid w:val="00EC4820"/>
    <w:rsid w:val="00ED0499"/>
    <w:rsid w:val="00ED0788"/>
    <w:rsid w:val="00ED16B2"/>
    <w:rsid w:val="00ED3264"/>
    <w:rsid w:val="00ED4BBD"/>
    <w:rsid w:val="00ED724E"/>
    <w:rsid w:val="00EE626E"/>
    <w:rsid w:val="00EE6A73"/>
    <w:rsid w:val="00EF5123"/>
    <w:rsid w:val="00EF67ED"/>
    <w:rsid w:val="00F0288C"/>
    <w:rsid w:val="00F035B3"/>
    <w:rsid w:val="00F04AD3"/>
    <w:rsid w:val="00F10DB7"/>
    <w:rsid w:val="00F11E9B"/>
    <w:rsid w:val="00F12B9F"/>
    <w:rsid w:val="00F13070"/>
    <w:rsid w:val="00F2199C"/>
    <w:rsid w:val="00F2764F"/>
    <w:rsid w:val="00F313E1"/>
    <w:rsid w:val="00F42348"/>
    <w:rsid w:val="00F51085"/>
    <w:rsid w:val="00F52C4F"/>
    <w:rsid w:val="00F53979"/>
    <w:rsid w:val="00F5481B"/>
    <w:rsid w:val="00F55CC6"/>
    <w:rsid w:val="00F63D9B"/>
    <w:rsid w:val="00F6757F"/>
    <w:rsid w:val="00F7019B"/>
    <w:rsid w:val="00F721C7"/>
    <w:rsid w:val="00F72F8A"/>
    <w:rsid w:val="00F84B79"/>
    <w:rsid w:val="00F91CF3"/>
    <w:rsid w:val="00F951E3"/>
    <w:rsid w:val="00F958AD"/>
    <w:rsid w:val="00FA36AE"/>
    <w:rsid w:val="00FA5C42"/>
    <w:rsid w:val="00FB73FE"/>
    <w:rsid w:val="00FC3DFA"/>
    <w:rsid w:val="00FC4D2C"/>
    <w:rsid w:val="00FC638A"/>
    <w:rsid w:val="00FD0FB3"/>
    <w:rsid w:val="00FD2F00"/>
    <w:rsid w:val="00FD3208"/>
    <w:rsid w:val="00FD4A25"/>
    <w:rsid w:val="00FE1479"/>
    <w:rsid w:val="00FF4D14"/>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3729"/>
    <o:shapelayout v:ext="edit">
      <o:idmap v:ext="edit" data="1"/>
    </o:shapelayout>
  </w:shapeDefaults>
  <w:decimalSymbol w:val=","/>
  <w:listSeparator w:val=";"/>
  <w14:docId w14:val="37099A26"/>
  <w15:chartTrackingRefBased/>
  <w15:docId w15:val="{88F5666C-4035-4D07-84C9-B71DDB0105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qFormat="1"/>
    <w:lsdException w:name="header" w:uiPriority="99"/>
    <w:lsdException w:name="caption" w:semiHidden="1" w:unhideWhenUsed="1" w:qFormat="1"/>
    <w:lsdException w:name="footnote reference"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7065A"/>
  </w:style>
  <w:style w:type="paragraph" w:styleId="Heading1">
    <w:name w:val="heading 1"/>
    <w:basedOn w:val="Normal"/>
    <w:next w:val="Normal"/>
    <w:qFormat/>
    <w:pPr>
      <w:keepNext/>
      <w:spacing w:before="240"/>
      <w:jc w:val="center"/>
      <w:outlineLvl w:val="0"/>
    </w:pPr>
    <w:rPr>
      <w:b/>
      <w:sz w:val="24"/>
    </w:rPr>
  </w:style>
  <w:style w:type="paragraph" w:styleId="Heading2">
    <w:name w:val="heading 2"/>
    <w:basedOn w:val="Normal"/>
    <w:next w:val="Normal"/>
    <w:qFormat/>
    <w:pPr>
      <w:keepNext/>
      <w:tabs>
        <w:tab w:val="left" w:pos="426"/>
      </w:tabs>
      <w:outlineLvl w:val="1"/>
    </w:pPr>
    <w:rPr>
      <w:sz w:val="24"/>
    </w:rPr>
  </w:style>
  <w:style w:type="paragraph" w:styleId="Heading3">
    <w:name w:val="heading 3"/>
    <w:basedOn w:val="Normal"/>
    <w:next w:val="Normal"/>
    <w:qFormat/>
    <w:pPr>
      <w:keepNext/>
      <w:outlineLvl w:val="2"/>
    </w:pPr>
    <w:rPr>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sz w:val="28"/>
    </w:rPr>
  </w:style>
  <w:style w:type="paragraph" w:styleId="Subtitle">
    <w:name w:val="Subtitle"/>
    <w:basedOn w:val="Normal"/>
    <w:qFormat/>
    <w:pPr>
      <w:jc w:val="center"/>
    </w:pPr>
    <w:rPr>
      <w:b/>
      <w:sz w:val="28"/>
    </w:rPr>
  </w:style>
  <w:style w:type="paragraph" w:styleId="BodyTextIndent">
    <w:name w:val="Body Text Indent"/>
    <w:basedOn w:val="Normal"/>
    <w:link w:val="BodyTextIndentChar"/>
    <w:pPr>
      <w:tabs>
        <w:tab w:val="left" w:pos="567"/>
      </w:tabs>
      <w:spacing w:after="120"/>
      <w:ind w:left="567" w:hanging="567"/>
      <w:jc w:val="both"/>
    </w:pPr>
    <w:rPr>
      <w:sz w:val="24"/>
    </w:rPr>
  </w:style>
  <w:style w:type="paragraph" w:styleId="BodyText">
    <w:name w:val="Body Text"/>
    <w:basedOn w:val="Normal"/>
    <w:link w:val="BodyTextChar"/>
    <w:rPr>
      <w:sz w:val="24"/>
    </w:rPr>
  </w:style>
  <w:style w:type="paragraph" w:styleId="BodyTextIndent2">
    <w:name w:val="Body Text Indent 2"/>
    <w:basedOn w:val="Normal"/>
    <w:pPr>
      <w:tabs>
        <w:tab w:val="num" w:pos="567"/>
        <w:tab w:val="num" w:pos="2160"/>
      </w:tabs>
      <w:spacing w:after="240"/>
      <w:ind w:left="567" w:hanging="567"/>
      <w:jc w:val="both"/>
    </w:pPr>
    <w:rPr>
      <w:sz w:val="24"/>
      <w:u w:val="single"/>
    </w:rPr>
  </w:style>
  <w:style w:type="paragraph" w:styleId="BodyTextIndent3">
    <w:name w:val="Body Text Indent 3"/>
    <w:basedOn w:val="Normal"/>
    <w:pPr>
      <w:tabs>
        <w:tab w:val="left" w:pos="1276"/>
      </w:tabs>
      <w:spacing w:after="120"/>
      <w:ind w:left="1276" w:hanging="425"/>
      <w:jc w:val="both"/>
    </w:pPr>
    <w:rPr>
      <w:sz w:val="24"/>
    </w:rPr>
  </w:style>
  <w:style w:type="paragraph" w:styleId="BodyText2">
    <w:name w:val="Body Text 2"/>
    <w:basedOn w:val="Normal"/>
    <w:link w:val="BodyText2Char"/>
    <w:pPr>
      <w:tabs>
        <w:tab w:val="num" w:pos="567"/>
      </w:tabs>
      <w:jc w:val="both"/>
    </w:pPr>
    <w:rPr>
      <w:sz w:val="24"/>
    </w:rPr>
  </w:style>
  <w:style w:type="paragraph" w:customStyle="1" w:styleId="Text3">
    <w:name w:val="Text 3"/>
    <w:basedOn w:val="Normal"/>
    <w:pPr>
      <w:tabs>
        <w:tab w:val="left" w:pos="2302"/>
      </w:tabs>
      <w:spacing w:after="240"/>
      <w:ind w:left="1202"/>
      <w:jc w:val="both"/>
    </w:pPr>
    <w:rPr>
      <w:sz w:val="24"/>
    </w:rPr>
  </w:style>
  <w:style w:type="paragraph" w:styleId="Header">
    <w:name w:val="header"/>
    <w:basedOn w:val="Normal"/>
    <w:link w:val="HeaderChar"/>
    <w:uiPriority w:val="99"/>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3">
    <w:name w:val="Body Text 3"/>
    <w:basedOn w:val="Normal"/>
    <w:pPr>
      <w:tabs>
        <w:tab w:val="left" w:pos="0"/>
        <w:tab w:val="left" w:pos="567"/>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line="240" w:lineRule="exact"/>
      <w:jc w:val="both"/>
    </w:pPr>
    <w:rPr>
      <w:b/>
      <w:sz w:val="24"/>
    </w:rPr>
  </w:style>
  <w:style w:type="character" w:styleId="Hyperlink">
    <w:name w:val="Hyperlink"/>
    <w:rPr>
      <w:color w:val="0000FF"/>
      <w:u w:val="single"/>
    </w:rPr>
  </w:style>
  <w:style w:type="paragraph" w:customStyle="1" w:styleId="Blockquote">
    <w:name w:val="Blockquote"/>
    <w:basedOn w:val="Normal"/>
    <w:pPr>
      <w:widowControl w:val="0"/>
      <w:spacing w:before="100" w:after="100"/>
      <w:ind w:left="360" w:right="360"/>
    </w:pPr>
    <w:rPr>
      <w:snapToGrid w:val="0"/>
      <w:sz w:val="24"/>
      <w:lang w:eastAsia="en-US"/>
    </w:rPr>
  </w:style>
  <w:style w:type="character" w:styleId="Emphasis">
    <w:name w:val="Emphasis"/>
    <w:uiPriority w:val="20"/>
    <w:qFormat/>
    <w:rPr>
      <w:i/>
    </w:rPr>
  </w:style>
  <w:style w:type="character" w:styleId="Strong">
    <w:name w:val="Strong"/>
    <w:qFormat/>
    <w:rPr>
      <w:b/>
    </w:rPr>
  </w:style>
  <w:style w:type="character" w:customStyle="1" w:styleId="tw4winMark">
    <w:name w:val="tw4winMark"/>
    <w:rsid w:val="00077121"/>
    <w:rPr>
      <w:rFonts w:ascii="Times New Roman" w:hAnsi="Times New Roman" w:cs="Times New Roman"/>
      <w:vanish/>
      <w:color w:val="800080"/>
      <w:sz w:val="24"/>
      <w:szCs w:val="24"/>
      <w:vertAlign w:val="subscript"/>
    </w:rPr>
  </w:style>
  <w:style w:type="character" w:styleId="IntenseReference">
    <w:name w:val="Intense Reference"/>
    <w:uiPriority w:val="32"/>
    <w:qFormat/>
    <w:rsid w:val="00BA1255"/>
    <w:rPr>
      <w:b/>
      <w:bCs/>
      <w:smallCaps/>
      <w:color w:val="5B9BD5"/>
      <w:spacing w:val="5"/>
    </w:rPr>
  </w:style>
  <w:style w:type="character" w:styleId="FollowedHyperlink">
    <w:name w:val="FollowedHyperlink"/>
    <w:rsid w:val="00AD4777"/>
    <w:rPr>
      <w:color w:val="606420"/>
      <w:u w:val="single"/>
    </w:rPr>
  </w:style>
  <w:style w:type="paragraph" w:customStyle="1" w:styleId="Char2">
    <w:name w:val="Char2"/>
    <w:basedOn w:val="Normal"/>
    <w:rsid w:val="006A651E"/>
    <w:pPr>
      <w:spacing w:after="160" w:line="240" w:lineRule="exact"/>
    </w:pPr>
    <w:rPr>
      <w:rFonts w:ascii="Tahoma" w:hAnsi="Tahoma"/>
      <w:lang w:eastAsia="en-US"/>
    </w:rPr>
  </w:style>
  <w:style w:type="paragraph" w:styleId="FootnoteText">
    <w:name w:val="footnote text"/>
    <w:aliases w:val="Schriftart: 9 pt,Schriftart: 10 pt,Schriftart: 8 pt,WB-Fußnotentext,FoodNote,ft,Footnote,Footnote Text Char Char,Footnote Text Char1 Char Char,Footnote Text Char Char Char Char,fn,f,Voetnoottekst Char,Footnote Text Char1 Cha"/>
    <w:basedOn w:val="Normal"/>
    <w:link w:val="FootnoteTextChar"/>
    <w:autoRedefine/>
    <w:uiPriority w:val="99"/>
    <w:qFormat/>
    <w:rsid w:val="002B2217"/>
    <w:pPr>
      <w:spacing w:after="60"/>
    </w:pPr>
  </w:style>
  <w:style w:type="character" w:styleId="FootnoteReference">
    <w:name w:val="footnote reference"/>
    <w:aliases w:val="Footnote symbol,Times 10 Point,Exposant 3 Point, Exposant 3 Point,Footnote number,Footnote Reference Number,Footnote reference number,Footnote Reference Superscript,EN Footnote Reference,note TESI,Voetnootverwijzing,fr,o,FR,FR1,note T"/>
    <w:qFormat/>
    <w:rsid w:val="00CB5FF3"/>
    <w:rPr>
      <w:vertAlign w:val="superscript"/>
    </w:rPr>
  </w:style>
  <w:style w:type="paragraph" w:styleId="BalloonText">
    <w:name w:val="Balloon Text"/>
    <w:basedOn w:val="Normal"/>
    <w:semiHidden/>
    <w:rsid w:val="005D284C"/>
    <w:rPr>
      <w:rFonts w:ascii="Tahoma" w:hAnsi="Tahoma" w:cs="Tahoma"/>
      <w:sz w:val="16"/>
      <w:szCs w:val="16"/>
    </w:rPr>
  </w:style>
  <w:style w:type="paragraph" w:customStyle="1" w:styleId="Text2">
    <w:name w:val="Text 2"/>
    <w:basedOn w:val="Normal"/>
    <w:rsid w:val="00CB5613"/>
    <w:pPr>
      <w:tabs>
        <w:tab w:val="left" w:pos="2161"/>
      </w:tabs>
      <w:spacing w:after="240"/>
      <w:ind w:left="1202"/>
      <w:jc w:val="both"/>
    </w:pPr>
    <w:rPr>
      <w:snapToGrid w:val="0"/>
      <w:sz w:val="24"/>
      <w:lang w:eastAsia="en-US"/>
    </w:rPr>
  </w:style>
  <w:style w:type="paragraph" w:customStyle="1" w:styleId="Style11ptJustifiedAfter12pt">
    <w:name w:val="Style 11 pt Justified After:  12 pt"/>
    <w:basedOn w:val="Normal"/>
    <w:link w:val="Style11ptJustifiedAfter12ptChar"/>
    <w:rsid w:val="00F11E9B"/>
    <w:pPr>
      <w:spacing w:after="120"/>
      <w:jc w:val="both"/>
    </w:pPr>
    <w:rPr>
      <w:sz w:val="22"/>
    </w:rPr>
  </w:style>
  <w:style w:type="character" w:customStyle="1" w:styleId="Style11ptJustifiedAfter12ptChar">
    <w:name w:val="Style 11 pt Justified After:  12 pt Char"/>
    <w:link w:val="Style11ptJustifiedAfter12pt"/>
    <w:rsid w:val="00F11E9B"/>
    <w:rPr>
      <w:sz w:val="22"/>
      <w:lang w:val="es-ES" w:eastAsia="en-GB" w:bidi="ar-SA"/>
    </w:rPr>
  </w:style>
  <w:style w:type="paragraph" w:customStyle="1" w:styleId="StyleStyleLeftBoxSinglesolidlineAuto05ptLinewidthCh2">
    <w:name w:val="Style Style Left Box: (Single solid line Auto  05 pt Line width) Ch...2"/>
    <w:basedOn w:val="Normal"/>
    <w:link w:val="StyleStyleLeftBoxSinglesolidlineAuto05ptLinewidthCh2Char"/>
    <w:rsid w:val="00F11E9B"/>
    <w:pPr>
      <w:pBdr>
        <w:top w:val="single" w:sz="4" w:space="1" w:color="auto"/>
        <w:left w:val="single" w:sz="4" w:space="4" w:color="auto"/>
        <w:bottom w:val="single" w:sz="4" w:space="1" w:color="auto"/>
        <w:right w:val="single" w:sz="4" w:space="4" w:color="auto"/>
      </w:pBdr>
    </w:pPr>
    <w:rPr>
      <w:sz w:val="22"/>
      <w:szCs w:val="22"/>
    </w:rPr>
  </w:style>
  <w:style w:type="character" w:customStyle="1" w:styleId="StyleStyleLeftBoxSinglesolidlineAuto05ptLinewidthCh2Char">
    <w:name w:val="Style Style Left Box: (Single solid line Auto  05 pt Line width) Ch...2 Char"/>
    <w:link w:val="StyleStyleLeftBoxSinglesolidlineAuto05ptLinewidthCh2"/>
    <w:rsid w:val="00F11E9B"/>
    <w:rPr>
      <w:sz w:val="22"/>
      <w:szCs w:val="22"/>
      <w:lang w:val="es-ES" w:eastAsia="en-GB" w:bidi="ar-SA"/>
    </w:rPr>
  </w:style>
  <w:style w:type="character" w:customStyle="1" w:styleId="Style11pt">
    <w:name w:val="Style 11 pt"/>
    <w:rsid w:val="00F11E9B"/>
    <w:rPr>
      <w:sz w:val="22"/>
    </w:rPr>
  </w:style>
  <w:style w:type="character" w:customStyle="1" w:styleId="BodyText2Char">
    <w:name w:val="Body Text 2 Char"/>
    <w:link w:val="BodyText2"/>
    <w:rsid w:val="0056210A"/>
    <w:rPr>
      <w:sz w:val="24"/>
    </w:rPr>
  </w:style>
  <w:style w:type="character" w:styleId="CommentReference">
    <w:name w:val="annotation reference"/>
    <w:rsid w:val="008222F7"/>
    <w:rPr>
      <w:sz w:val="16"/>
      <w:szCs w:val="16"/>
    </w:rPr>
  </w:style>
  <w:style w:type="paragraph" w:styleId="CommentText">
    <w:name w:val="annotation text"/>
    <w:basedOn w:val="Normal"/>
    <w:link w:val="CommentTextChar"/>
    <w:rsid w:val="008222F7"/>
  </w:style>
  <w:style w:type="character" w:customStyle="1" w:styleId="CommentTextChar">
    <w:name w:val="Comment Text Char"/>
    <w:basedOn w:val="DefaultParagraphFont"/>
    <w:link w:val="CommentText"/>
    <w:rsid w:val="008222F7"/>
  </w:style>
  <w:style w:type="paragraph" w:styleId="CommentSubject">
    <w:name w:val="annotation subject"/>
    <w:basedOn w:val="CommentText"/>
    <w:next w:val="CommentText"/>
    <w:link w:val="CommentSubjectChar"/>
    <w:rsid w:val="008222F7"/>
    <w:rPr>
      <w:b/>
      <w:bCs/>
    </w:rPr>
  </w:style>
  <w:style w:type="character" w:customStyle="1" w:styleId="CommentSubjectChar">
    <w:name w:val="Comment Subject Char"/>
    <w:link w:val="CommentSubject"/>
    <w:rsid w:val="008222F7"/>
    <w:rPr>
      <w:b/>
      <w:bCs/>
    </w:rPr>
  </w:style>
  <w:style w:type="paragraph" w:styleId="Revision">
    <w:name w:val="Revision"/>
    <w:hidden/>
    <w:uiPriority w:val="99"/>
    <w:semiHidden/>
    <w:rsid w:val="008222F7"/>
  </w:style>
  <w:style w:type="character" w:customStyle="1" w:styleId="BodyTextChar">
    <w:name w:val="Body Text Char"/>
    <w:link w:val="BodyText"/>
    <w:rsid w:val="00DF3566"/>
    <w:rPr>
      <w:sz w:val="24"/>
    </w:rPr>
  </w:style>
  <w:style w:type="character" w:customStyle="1" w:styleId="FootnoteTextChar">
    <w:name w:val="Footnote Text Char"/>
    <w:aliases w:val="Schriftart: 9 pt Char,Schriftart: 10 pt Char,Schriftart: 8 pt Char,WB-Fußnotentext Char,FoodNote Char,ft Char,Footnote Char,Footnote Text Char Char Char,Footnote Text Char1 Char Char Char,Footnote Text Char Char Char Char Char,fn Char"/>
    <w:link w:val="FootnoteText"/>
    <w:uiPriority w:val="99"/>
    <w:rsid w:val="00395A65"/>
  </w:style>
  <w:style w:type="paragraph" w:customStyle="1" w:styleId="Numbered">
    <w:name w:val="Numbered"/>
    <w:basedOn w:val="Normal"/>
    <w:link w:val="NumberedChar"/>
    <w:qFormat/>
    <w:rsid w:val="0061177F"/>
    <w:pPr>
      <w:numPr>
        <w:numId w:val="49"/>
      </w:numPr>
      <w:jc w:val="both"/>
    </w:pPr>
    <w:rPr>
      <w:sz w:val="24"/>
      <w:szCs w:val="24"/>
    </w:rPr>
  </w:style>
  <w:style w:type="character" w:customStyle="1" w:styleId="NumberedChar">
    <w:name w:val="Numbered Char"/>
    <w:link w:val="Numbered"/>
    <w:rsid w:val="0061177F"/>
    <w:rPr>
      <w:sz w:val="24"/>
      <w:szCs w:val="24"/>
    </w:rPr>
  </w:style>
  <w:style w:type="paragraph" w:customStyle="1" w:styleId="PRAGHeading2">
    <w:name w:val="PRAG Heading 2"/>
    <w:basedOn w:val="Normal"/>
    <w:rsid w:val="00D4662E"/>
    <w:pPr>
      <w:widowControl w:val="0"/>
      <w:numPr>
        <w:numId w:val="50"/>
      </w:numPr>
      <w:spacing w:before="100" w:after="100"/>
    </w:pPr>
    <w:rPr>
      <w:snapToGrid w:val="0"/>
      <w:sz w:val="24"/>
      <w:lang w:eastAsia="en-US"/>
    </w:rPr>
  </w:style>
  <w:style w:type="paragraph" w:customStyle="1" w:styleId="Text1">
    <w:name w:val="Text 1"/>
    <w:basedOn w:val="Normal"/>
    <w:link w:val="Text1Char"/>
    <w:qFormat/>
    <w:rsid w:val="00EC4820"/>
    <w:pPr>
      <w:spacing w:before="100" w:beforeAutospacing="1" w:after="100" w:afterAutospacing="1"/>
      <w:jc w:val="both"/>
    </w:pPr>
    <w:rPr>
      <w:b/>
      <w:sz w:val="24"/>
      <w:szCs w:val="24"/>
    </w:rPr>
  </w:style>
  <w:style w:type="character" w:customStyle="1" w:styleId="Text1Char">
    <w:name w:val="Text 1 Char"/>
    <w:link w:val="Text1"/>
    <w:rsid w:val="00EC4820"/>
    <w:rPr>
      <w:b/>
      <w:sz w:val="24"/>
      <w:szCs w:val="24"/>
    </w:rPr>
  </w:style>
  <w:style w:type="character" w:customStyle="1" w:styleId="BodyTextIndentChar">
    <w:name w:val="Body Text Indent Char"/>
    <w:link w:val="BodyTextIndent"/>
    <w:rsid w:val="00723F89"/>
    <w:rPr>
      <w:sz w:val="24"/>
    </w:rPr>
  </w:style>
  <w:style w:type="character" w:customStyle="1" w:styleId="HeaderChar">
    <w:name w:val="Header Char"/>
    <w:link w:val="Header"/>
    <w:uiPriority w:val="99"/>
    <w:rsid w:val="002A75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016943">
      <w:bodyDiv w:val="1"/>
      <w:marLeft w:val="0"/>
      <w:marRight w:val="0"/>
      <w:marTop w:val="0"/>
      <w:marBottom w:val="0"/>
      <w:divBdr>
        <w:top w:val="none" w:sz="0" w:space="0" w:color="auto"/>
        <w:left w:val="none" w:sz="0" w:space="0" w:color="auto"/>
        <w:bottom w:val="none" w:sz="0" w:space="0" w:color="auto"/>
        <w:right w:val="none" w:sz="0" w:space="0" w:color="auto"/>
      </w:divBdr>
    </w:div>
    <w:div w:id="722484293">
      <w:bodyDiv w:val="1"/>
      <w:marLeft w:val="0"/>
      <w:marRight w:val="0"/>
      <w:marTop w:val="0"/>
      <w:marBottom w:val="0"/>
      <w:divBdr>
        <w:top w:val="none" w:sz="0" w:space="0" w:color="auto"/>
        <w:left w:val="none" w:sz="0" w:space="0" w:color="auto"/>
        <w:bottom w:val="none" w:sz="0" w:space="0" w:color="auto"/>
        <w:right w:val="none" w:sz="0" w:space="0" w:color="auto"/>
      </w:divBdr>
    </w:div>
    <w:div w:id="941373334">
      <w:bodyDiv w:val="1"/>
      <w:marLeft w:val="0"/>
      <w:marRight w:val="0"/>
      <w:marTop w:val="0"/>
      <w:marBottom w:val="0"/>
      <w:divBdr>
        <w:top w:val="none" w:sz="0" w:space="0" w:color="auto"/>
        <w:left w:val="none" w:sz="0" w:space="0" w:color="auto"/>
        <w:bottom w:val="none" w:sz="0" w:space="0" w:color="auto"/>
        <w:right w:val="none" w:sz="0" w:space="0" w:color="auto"/>
      </w:divBdr>
    </w:div>
    <w:div w:id="1035471140">
      <w:bodyDiv w:val="1"/>
      <w:marLeft w:val="0"/>
      <w:marRight w:val="0"/>
      <w:marTop w:val="0"/>
      <w:marBottom w:val="0"/>
      <w:divBdr>
        <w:top w:val="none" w:sz="0" w:space="0" w:color="auto"/>
        <w:left w:val="none" w:sz="0" w:space="0" w:color="auto"/>
        <w:bottom w:val="none" w:sz="0" w:space="0" w:color="auto"/>
        <w:right w:val="none" w:sz="0" w:space="0" w:color="auto"/>
      </w:divBdr>
    </w:div>
    <w:div w:id="1327246217">
      <w:bodyDiv w:val="1"/>
      <w:marLeft w:val="0"/>
      <w:marRight w:val="0"/>
      <w:marTop w:val="0"/>
      <w:marBottom w:val="0"/>
      <w:divBdr>
        <w:top w:val="none" w:sz="0" w:space="0" w:color="auto"/>
        <w:left w:val="none" w:sz="0" w:space="0" w:color="auto"/>
        <w:bottom w:val="none" w:sz="0" w:space="0" w:color="auto"/>
        <w:right w:val="none" w:sz="0" w:space="0" w:color="auto"/>
      </w:divBdr>
    </w:div>
    <w:div w:id="1718698738">
      <w:bodyDiv w:val="1"/>
      <w:marLeft w:val="0"/>
      <w:marRight w:val="0"/>
      <w:marTop w:val="0"/>
      <w:marBottom w:val="0"/>
      <w:divBdr>
        <w:top w:val="none" w:sz="0" w:space="0" w:color="auto"/>
        <w:left w:val="none" w:sz="0" w:space="0" w:color="auto"/>
        <w:bottom w:val="none" w:sz="0" w:space="0" w:color="auto"/>
        <w:right w:val="none" w:sz="0" w:space="0" w:color="auto"/>
      </w:divBdr>
    </w:div>
    <w:div w:id="1893996921">
      <w:bodyDiv w:val="1"/>
      <w:marLeft w:val="0"/>
      <w:marRight w:val="0"/>
      <w:marTop w:val="0"/>
      <w:marBottom w:val="0"/>
      <w:divBdr>
        <w:top w:val="none" w:sz="0" w:space="0" w:color="auto"/>
        <w:left w:val="none" w:sz="0" w:space="0" w:color="auto"/>
        <w:bottom w:val="none" w:sz="0" w:space="0" w:color="auto"/>
        <w:right w:val="none" w:sz="0" w:space="0" w:color="auto"/>
      </w:divBdr>
    </w:div>
    <w:div w:id="1933313824">
      <w:bodyDiv w:val="1"/>
      <w:marLeft w:val="0"/>
      <w:marRight w:val="0"/>
      <w:marTop w:val="0"/>
      <w:marBottom w:val="0"/>
      <w:divBdr>
        <w:top w:val="none" w:sz="0" w:space="0" w:color="auto"/>
        <w:left w:val="none" w:sz="0" w:space="0" w:color="auto"/>
        <w:bottom w:val="none" w:sz="0" w:space="0" w:color="auto"/>
        <w:right w:val="none" w:sz="0" w:space="0" w:color="auto"/>
      </w:divBdr>
    </w:div>
    <w:div w:id="1936472760">
      <w:bodyDiv w:val="1"/>
      <w:marLeft w:val="0"/>
      <w:marRight w:val="0"/>
      <w:marTop w:val="0"/>
      <w:marBottom w:val="0"/>
      <w:divBdr>
        <w:top w:val="none" w:sz="0" w:space="0" w:color="auto"/>
        <w:left w:val="none" w:sz="0" w:space="0" w:color="auto"/>
        <w:bottom w:val="none" w:sz="0" w:space="0" w:color="auto"/>
        <w:right w:val="none" w:sz="0" w:space="0" w:color="auto"/>
      </w:divBdr>
    </w:div>
    <w:div w:id="1948392608">
      <w:bodyDiv w:val="1"/>
      <w:marLeft w:val="0"/>
      <w:marRight w:val="0"/>
      <w:marTop w:val="0"/>
      <w:marBottom w:val="0"/>
      <w:divBdr>
        <w:top w:val="none" w:sz="0" w:space="0" w:color="auto"/>
        <w:left w:val="none" w:sz="0" w:space="0" w:color="auto"/>
        <w:bottom w:val="none" w:sz="0" w:space="0" w:color="auto"/>
        <w:right w:val="none" w:sz="0" w:space="0" w:color="auto"/>
      </w:divBdr>
    </w:div>
    <w:div w:id="2105569453">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webSettings>
</file>

<file path=word/_rels/document.xml.rels><?xml version="1.0" encoding="UTF-8" standalone="yes"?>
<Relationships xmlns="http://schemas.openxmlformats.org/package/2006/relationships"><Relationship Id="rId8" Type="http://schemas.openxmlformats.org/officeDocument/2006/relationships/hyperlink" Target="https://wikis.ec.europa.eu/display/ExactExternalWikiES/ePRAG" TargetMode="External"/><Relationship Id="rId13" Type="http://schemas.openxmlformats.org/officeDocument/2006/relationships/hyperlink" Target="https://ec.europa.eu/info/funding-tenders/opportunities/portal/screen/how-to-participate/participant-register"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ec.europa.eu/info/funding-tenders/opportunities/portal/screen/home"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ikis.ec.europa.eu/display/ExactExternalWikiES/Anexo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ikis.ec.europa.eu/display/ExactExternalWikiES/Anexos"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ikis.ec.europa.eu/display/ExactExternalWikiES/Anexos" TargetMode="External"/><Relationship Id="rId23" Type="http://schemas.openxmlformats.org/officeDocument/2006/relationships/fontTable" Target="fontTable.xml"/><Relationship Id="rId10" Type="http://schemas.openxmlformats.org/officeDocument/2006/relationships/hyperlink" Target="http://ec.europa.eu/europeaid/work/procedures/documents/execution/services/b8annexvbudgetfee_en.xls"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ikis.ec.europa.eu/display/ExactExternalWikiES/Anexos" TargetMode="External"/><Relationship Id="rId14" Type="http://schemas.openxmlformats.org/officeDocument/2006/relationships/hyperlink" Target="https://wikis.ec.europa.eu/display/ExactExternalWikiES/3.+Contratos+de+servicios" TargetMode="External"/><Relationship Id="rId22" Type="http://schemas.openxmlformats.org/officeDocument/2006/relationships/footer" Target="footer3.xml"/></Relationships>
</file>

<file path=word/_rels/footnotes.xml.rels><?xml version="1.0" encoding="UTF-8" standalone="yes"?>
<Relationships xmlns="http://schemas.openxmlformats.org/package/2006/relationships"><Relationship Id="rId2" Type="http://schemas.openxmlformats.org/officeDocument/2006/relationships/hyperlink" Target="https://webgate.ec.europa.eu/fpfis/wikis/x/Oo5kI" TargetMode="External"/><Relationship Id="rId1" Type="http://schemas.openxmlformats.org/officeDocument/2006/relationships/hyperlink" Target="https://ec.europa.eu/info/funding-tenders/opportunities/docs/esubmission/quickguidepp_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93776-0B3D-4462-BDB3-B6A5E59CE8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23</Pages>
  <Words>10226</Words>
  <Characters>56042</Characters>
  <Application>Microsoft Office Word</Application>
  <DocSecurity>0</DocSecurity>
  <Lines>966</Lines>
  <Paragraphs>380</Paragraphs>
  <ScaleCrop>false</ScaleCrop>
  <HeadingPairs>
    <vt:vector size="2" baseType="variant">
      <vt:variant>
        <vt:lpstr>Title</vt:lpstr>
      </vt:variant>
      <vt:variant>
        <vt:i4>1</vt:i4>
      </vt:variant>
    </vt:vector>
  </HeadingPairs>
  <TitlesOfParts>
    <vt:vector size="1" baseType="lpstr">
      <vt:lpstr>INSTRUCTIONS TO TENDERERS</vt:lpstr>
    </vt:vector>
  </TitlesOfParts>
  <Company>XXXXXXX</Company>
  <LinksUpToDate>false</LinksUpToDate>
  <CharactersWithSpaces>65888</CharactersWithSpaces>
  <SharedDoc>false</SharedDoc>
  <HLinks>
    <vt:vector size="48" baseType="variant">
      <vt:variant>
        <vt:i4>4784161</vt:i4>
      </vt:variant>
      <vt:variant>
        <vt:i4>30</vt:i4>
      </vt:variant>
      <vt:variant>
        <vt:i4>0</vt:i4>
      </vt:variant>
      <vt:variant>
        <vt:i4>5</vt:i4>
      </vt:variant>
      <vt:variant>
        <vt:lpwstr>http://ec.europa.eu/budget/explained/management/protecting/protect_en.cfm</vt:lpwstr>
      </vt:variant>
      <vt:variant>
        <vt:lpwstr/>
      </vt:variant>
      <vt:variant>
        <vt:i4>5308446</vt:i4>
      </vt:variant>
      <vt:variant>
        <vt:i4>27</vt:i4>
      </vt:variant>
      <vt:variant>
        <vt:i4>0</vt:i4>
      </vt:variant>
      <vt:variant>
        <vt:i4>5</vt:i4>
      </vt:variant>
      <vt:variant>
        <vt:lpwstr>http://ec.europa.eu/europeaid/prag/annexes.do?chapterTitleCode=A</vt:lpwstr>
      </vt:variant>
      <vt:variant>
        <vt:lpwstr/>
      </vt:variant>
      <vt:variant>
        <vt:i4>4784206</vt:i4>
      </vt:variant>
      <vt:variant>
        <vt:i4>24</vt:i4>
      </vt:variant>
      <vt:variant>
        <vt:i4>0</vt:i4>
      </vt:variant>
      <vt:variant>
        <vt:i4>5</vt:i4>
      </vt:variant>
      <vt:variant>
        <vt:lpwstr>https://webgate.ec.europa.eu/europeaid/online-services/index.cfm?do=publi.welcome</vt:lpwstr>
      </vt:variant>
      <vt:variant>
        <vt:lpwstr/>
      </vt:variant>
      <vt:variant>
        <vt:i4>3670117</vt:i4>
      </vt:variant>
      <vt:variant>
        <vt:i4>21</vt:i4>
      </vt:variant>
      <vt:variant>
        <vt:i4>0</vt:i4>
      </vt:variant>
      <vt:variant>
        <vt:i4>5</vt:i4>
      </vt:variant>
      <vt:variant>
        <vt:lpwstr>http://ec.europa.eu/europeaid/prag/document.do</vt:lpwstr>
      </vt:variant>
      <vt:variant>
        <vt:lpwstr/>
      </vt:variant>
      <vt:variant>
        <vt:i4>3670117</vt:i4>
      </vt:variant>
      <vt:variant>
        <vt:i4>15</vt:i4>
      </vt:variant>
      <vt:variant>
        <vt:i4>0</vt:i4>
      </vt:variant>
      <vt:variant>
        <vt:i4>5</vt:i4>
      </vt:variant>
      <vt:variant>
        <vt:lpwstr>http://ec.europa.eu/europeaid/prag/document.do</vt:lpwstr>
      </vt:variant>
      <vt:variant>
        <vt:lpwstr/>
      </vt:variant>
      <vt:variant>
        <vt:i4>7536706</vt:i4>
      </vt:variant>
      <vt:variant>
        <vt:i4>12</vt:i4>
      </vt:variant>
      <vt:variant>
        <vt:i4>0</vt:i4>
      </vt:variant>
      <vt:variant>
        <vt:i4>5</vt:i4>
      </vt:variant>
      <vt:variant>
        <vt:lpwstr>http://ec.europa.eu/europeaid/work/procedures/documents/execution/services/b8annexvbudgetfee_en.xls</vt:lpwstr>
      </vt:variant>
      <vt:variant>
        <vt:lpwstr/>
      </vt:variant>
      <vt:variant>
        <vt:i4>3670117</vt:i4>
      </vt:variant>
      <vt:variant>
        <vt:i4>9</vt:i4>
      </vt:variant>
      <vt:variant>
        <vt:i4>0</vt:i4>
      </vt:variant>
      <vt:variant>
        <vt:i4>5</vt:i4>
      </vt:variant>
      <vt:variant>
        <vt:lpwstr>http://ec.europa.eu/europeaid/prag/document.do</vt:lpwstr>
      </vt:variant>
      <vt:variant>
        <vt:lpwstr/>
      </vt:variant>
      <vt:variant>
        <vt:i4>3670117</vt:i4>
      </vt:variant>
      <vt:variant>
        <vt:i4>0</vt:i4>
      </vt:variant>
      <vt:variant>
        <vt:i4>0</vt:i4>
      </vt:variant>
      <vt:variant>
        <vt:i4>5</vt:i4>
      </vt:variant>
      <vt:variant>
        <vt:lpwstr>http://ec.europa.eu/europeaid/prag/document.do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TO TENDERERS</dc:title>
  <dc:subject/>
  <dc:creator>XXXXXXX</dc:creator>
  <cp:keywords/>
  <cp:lastModifiedBy>FAJARDO SORIA Isabel (INTPA)</cp:lastModifiedBy>
  <cp:revision>16</cp:revision>
  <cp:lastPrinted>2018-07-03T12:42:00Z</cp:lastPrinted>
  <dcterms:created xsi:type="dcterms:W3CDTF">2021-10-08T13:28:00Z</dcterms:created>
  <dcterms:modified xsi:type="dcterms:W3CDTF">2024-02-01T17:05:00Z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tor">
    <vt:lpwstr>kilbyrn</vt:lpwstr>
  </property>
  <property fmtid="{D5CDD505-2E9C-101B-9397-08002B2CF9AE}" pid="3" name="MSIP_Label_6bd9ddd1-4d20-43f6-abfa-fc3c07406f94_Enabled">
    <vt:lpwstr>true</vt:lpwstr>
  </property>
  <property fmtid="{D5CDD505-2E9C-101B-9397-08002B2CF9AE}" pid="4" name="MSIP_Label_6bd9ddd1-4d20-43f6-abfa-fc3c07406f94_SetDate">
    <vt:lpwstr>2024-02-01T15:59:39Z</vt:lpwstr>
  </property>
  <property fmtid="{D5CDD505-2E9C-101B-9397-08002B2CF9AE}" pid="5" name="MSIP_Label_6bd9ddd1-4d20-43f6-abfa-fc3c07406f94_Method">
    <vt:lpwstr>Standard</vt:lpwstr>
  </property>
  <property fmtid="{D5CDD505-2E9C-101B-9397-08002B2CF9AE}" pid="6" name="MSIP_Label_6bd9ddd1-4d20-43f6-abfa-fc3c07406f94_Name">
    <vt:lpwstr>Commission Use</vt:lpwstr>
  </property>
  <property fmtid="{D5CDD505-2E9C-101B-9397-08002B2CF9AE}" pid="7" name="MSIP_Label_6bd9ddd1-4d20-43f6-abfa-fc3c07406f94_SiteId">
    <vt:lpwstr>b24c8b06-522c-46fe-9080-70926f8dddb1</vt:lpwstr>
  </property>
  <property fmtid="{D5CDD505-2E9C-101B-9397-08002B2CF9AE}" pid="8" name="MSIP_Label_6bd9ddd1-4d20-43f6-abfa-fc3c07406f94_ActionId">
    <vt:lpwstr>b7c4421c-b9f6-4ba3-8ce5-ded4e3a70c03</vt:lpwstr>
  </property>
  <property fmtid="{D5CDD505-2E9C-101B-9397-08002B2CF9AE}" pid="9" name="MSIP_Label_6bd9ddd1-4d20-43f6-abfa-fc3c07406f94_ContentBits">
    <vt:lpwstr>0</vt:lpwstr>
  </property>
</Properties>
</file>